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sz w:val="32"/>
          <w:szCs w:val="32"/>
        </w:rPr>
      </w:pPr>
    </w:p>
    <w:p>
      <w:pPr>
        <w:widowControl/>
        <w:jc w:val="center"/>
        <w:rPr>
          <w:sz w:val="84"/>
          <w:szCs w:val="84"/>
        </w:rPr>
      </w:pP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lang w:val="en-US" w:eastAsia="zh-CN"/>
        </w:rPr>
        <w:t>2021</w:t>
      </w:r>
      <w:r>
        <w:rPr>
          <w:rFonts w:hint="eastAsia" w:ascii="方正小标宋简体" w:eastAsia="方正小标宋简体"/>
          <w:sz w:val="84"/>
          <w:szCs w:val="84"/>
        </w:rPr>
        <w:t>年度</w:t>
      </w:r>
    </w:p>
    <w:p>
      <w:pPr>
        <w:widowControl/>
        <w:jc w:val="center"/>
        <w:rPr>
          <w:rFonts w:ascii="方正小标宋简体" w:eastAsia="方正小标宋简体"/>
          <w:sz w:val="84"/>
          <w:szCs w:val="84"/>
        </w:rPr>
      </w:pPr>
      <w:r>
        <w:rPr>
          <w:rFonts w:hint="eastAsia" w:ascii="方正小标宋简体" w:eastAsia="方正小标宋简体"/>
          <w:color w:val="FF0000"/>
          <w:sz w:val="84"/>
          <w:szCs w:val="84"/>
          <w:lang w:val="en-US" w:eastAsia="zh-CN"/>
        </w:rPr>
        <w:t>宁德市</w:t>
      </w:r>
      <w:r>
        <w:rPr>
          <w:rFonts w:hint="eastAsia" w:ascii="方正小标宋简体" w:eastAsia="方正小标宋简体"/>
          <w:sz w:val="84"/>
          <w:szCs w:val="84"/>
          <w:lang w:val="en-US" w:eastAsia="zh-CN"/>
        </w:rPr>
        <w:t>特殊教育学校部门</w:t>
      </w:r>
      <w:r>
        <w:rPr>
          <w:rFonts w:hint="eastAsia" w:ascii="方正小标宋简体" w:eastAsia="方正小标宋简体"/>
          <w:sz w:val="84"/>
          <w:szCs w:val="84"/>
        </w:rPr>
        <w:t>决算</w:t>
      </w:r>
    </w:p>
    <w:p>
      <w:pPr>
        <w:widowControl/>
        <w:rPr>
          <w:sz w:val="84"/>
          <w:szCs w:val="84"/>
        </w:rPr>
      </w:pPr>
      <w:r>
        <w:rPr>
          <w:sz w:val="84"/>
          <w:szCs w:val="84"/>
        </w:rPr>
        <w:br w:type="page"/>
      </w:r>
    </w:p>
    <w:p>
      <w:pPr>
        <w:jc w:val="center"/>
        <w:rPr>
          <w:rFonts w:ascii="仿宋" w:hAnsi="仿宋" w:eastAsia="仿宋"/>
          <w:b/>
          <w:sz w:val="32"/>
          <w:szCs w:val="32"/>
        </w:rPr>
      </w:pPr>
      <w:r>
        <w:rPr>
          <w:rFonts w:hint="eastAsia" w:ascii="仿宋" w:hAnsi="仿宋" w:eastAsia="仿宋"/>
          <w:b/>
          <w:sz w:val="32"/>
          <w:szCs w:val="32"/>
        </w:rPr>
        <w:t>目 录</w:t>
      </w:r>
    </w:p>
    <w:p>
      <w:pPr>
        <w:jc w:val="left"/>
        <w:rPr>
          <w:rFonts w:ascii="仿宋" w:hAnsi="仿宋" w:eastAsia="仿宋"/>
          <w:sz w:val="32"/>
          <w:szCs w:val="32"/>
        </w:rPr>
      </w:pPr>
      <w:r>
        <w:rPr>
          <w:rFonts w:hint="eastAsia" w:ascii="仿宋" w:hAnsi="仿宋" w:eastAsia="仿宋"/>
          <w:b/>
          <w:sz w:val="32"/>
          <w:szCs w:val="32"/>
        </w:rPr>
        <w:t>第一部分 单位概况</w:t>
      </w:r>
      <w:r>
        <w:rPr>
          <w:rFonts w:hint="eastAsia" w:ascii="仿宋" w:hAnsi="仿宋" w:eastAsia="仿宋"/>
          <w:sz w:val="32"/>
          <w:szCs w:val="32"/>
        </w:rPr>
        <w:t xml:space="preserve"> ..............................</w:t>
      </w:r>
    </w:p>
    <w:p>
      <w:pPr>
        <w:jc w:val="left"/>
        <w:rPr>
          <w:rFonts w:ascii="仿宋" w:hAnsi="仿宋" w:eastAsia="仿宋"/>
          <w:sz w:val="32"/>
          <w:szCs w:val="32"/>
        </w:rPr>
      </w:pPr>
      <w:r>
        <w:rPr>
          <w:rFonts w:hint="eastAsia" w:ascii="仿宋" w:hAnsi="仿宋" w:eastAsia="仿宋"/>
          <w:sz w:val="32"/>
          <w:szCs w:val="32"/>
        </w:rPr>
        <w:t>一、单位主要职责 ...................................</w:t>
      </w:r>
    </w:p>
    <w:p>
      <w:pPr>
        <w:jc w:val="left"/>
        <w:rPr>
          <w:rFonts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highlight w:val="none"/>
        </w:rPr>
        <w:t>单位基本情况</w:t>
      </w:r>
      <w:r>
        <w:rPr>
          <w:rFonts w:hint="eastAsia" w:ascii="仿宋" w:hAnsi="仿宋" w:eastAsia="仿宋"/>
          <w:sz w:val="32"/>
          <w:szCs w:val="32"/>
        </w:rPr>
        <w:t xml:space="preserve"> ..........................</w:t>
      </w:r>
    </w:p>
    <w:p>
      <w:pPr>
        <w:jc w:val="left"/>
        <w:rPr>
          <w:rFonts w:ascii="仿宋" w:hAnsi="仿宋" w:eastAsia="仿宋"/>
          <w:sz w:val="32"/>
          <w:szCs w:val="32"/>
        </w:rPr>
      </w:pPr>
      <w:r>
        <w:rPr>
          <w:rFonts w:hint="eastAsia" w:ascii="仿宋" w:hAnsi="仿宋" w:eastAsia="仿宋"/>
          <w:sz w:val="32"/>
          <w:szCs w:val="32"/>
        </w:rPr>
        <w:t>三、单位主要工作总结...............................</w:t>
      </w:r>
    </w:p>
    <w:p>
      <w:pPr>
        <w:jc w:val="left"/>
        <w:rPr>
          <w:rFonts w:ascii="仿宋" w:hAnsi="仿宋" w:eastAsia="仿宋"/>
          <w:sz w:val="32"/>
          <w:szCs w:val="32"/>
        </w:rPr>
      </w:pPr>
      <w:r>
        <w:rPr>
          <w:rFonts w:hint="eastAsia" w:ascii="仿宋" w:hAnsi="仿宋" w:eastAsia="仿宋"/>
          <w:b/>
          <w:sz w:val="32"/>
          <w:szCs w:val="32"/>
        </w:rPr>
        <w:t xml:space="preserve">第二部分 </w:t>
      </w:r>
      <w:r>
        <w:rPr>
          <w:rFonts w:hint="eastAsia" w:ascii="仿宋" w:hAnsi="仿宋" w:eastAsia="仿宋" w:cs="仿宋_GB2312"/>
          <w:sz w:val="32"/>
          <w:szCs w:val="32"/>
        </w:rPr>
        <w:t>2021</w:t>
      </w:r>
      <w:r>
        <w:rPr>
          <w:rFonts w:hint="eastAsia" w:ascii="仿宋" w:hAnsi="仿宋" w:eastAsia="仿宋"/>
          <w:b/>
          <w:sz w:val="32"/>
          <w:szCs w:val="32"/>
        </w:rPr>
        <w:t>年度部门决算表</w:t>
      </w:r>
      <w:r>
        <w:rPr>
          <w:rFonts w:hint="eastAsia" w:ascii="仿宋" w:hAnsi="仿宋" w:eastAsia="仿宋"/>
          <w:sz w:val="32"/>
          <w:szCs w:val="32"/>
        </w:rPr>
        <w:t xml:space="preserve"> .......................</w:t>
      </w:r>
    </w:p>
    <w:p>
      <w:pPr>
        <w:jc w:val="left"/>
        <w:rPr>
          <w:rFonts w:ascii="仿宋" w:hAnsi="仿宋" w:eastAsia="仿宋"/>
          <w:sz w:val="32"/>
          <w:szCs w:val="32"/>
        </w:rPr>
      </w:pPr>
      <w:r>
        <w:rPr>
          <w:rFonts w:hint="eastAsia" w:ascii="仿宋" w:hAnsi="仿宋" w:eastAsia="仿宋"/>
          <w:sz w:val="32"/>
          <w:szCs w:val="32"/>
        </w:rPr>
        <w:t>一、收入支出决算总表 ...............................</w:t>
      </w:r>
    </w:p>
    <w:p>
      <w:pPr>
        <w:jc w:val="left"/>
        <w:rPr>
          <w:rFonts w:ascii="仿宋" w:hAnsi="仿宋" w:eastAsia="仿宋"/>
          <w:sz w:val="32"/>
          <w:szCs w:val="32"/>
        </w:rPr>
      </w:pPr>
      <w:r>
        <w:rPr>
          <w:rFonts w:hint="eastAsia" w:ascii="仿宋" w:hAnsi="仿宋" w:eastAsia="仿宋"/>
          <w:sz w:val="32"/>
          <w:szCs w:val="32"/>
        </w:rPr>
        <w:t>二、收入决算表 ............................ .......</w:t>
      </w:r>
    </w:p>
    <w:p>
      <w:pPr>
        <w:jc w:val="left"/>
        <w:rPr>
          <w:rFonts w:ascii="仿宋" w:hAnsi="仿宋" w:eastAsia="仿宋"/>
          <w:sz w:val="32"/>
          <w:szCs w:val="32"/>
        </w:rPr>
      </w:pPr>
      <w:r>
        <w:rPr>
          <w:rFonts w:hint="eastAsia" w:ascii="仿宋" w:hAnsi="仿宋" w:eastAsia="仿宋"/>
          <w:sz w:val="32"/>
          <w:szCs w:val="32"/>
        </w:rPr>
        <w:t>三、支出决算表 ...................................</w:t>
      </w:r>
    </w:p>
    <w:p>
      <w:pPr>
        <w:jc w:val="left"/>
        <w:rPr>
          <w:rFonts w:ascii="仿宋" w:hAnsi="仿宋" w:eastAsia="仿宋"/>
          <w:sz w:val="32"/>
          <w:szCs w:val="32"/>
        </w:rPr>
      </w:pPr>
      <w:r>
        <w:rPr>
          <w:rFonts w:hint="eastAsia" w:ascii="仿宋" w:hAnsi="仿宋" w:eastAsia="仿宋"/>
          <w:sz w:val="32"/>
          <w:szCs w:val="32"/>
        </w:rPr>
        <w:t>四、财政拨款收入支出决算总表 ......................</w:t>
      </w:r>
    </w:p>
    <w:p>
      <w:pPr>
        <w:jc w:val="left"/>
        <w:rPr>
          <w:rFonts w:ascii="仿宋" w:hAnsi="仿宋" w:eastAsia="仿宋"/>
          <w:sz w:val="32"/>
          <w:szCs w:val="32"/>
        </w:rPr>
      </w:pPr>
      <w:r>
        <w:rPr>
          <w:rFonts w:hint="eastAsia" w:ascii="仿宋" w:hAnsi="仿宋" w:eastAsia="仿宋"/>
          <w:sz w:val="32"/>
          <w:szCs w:val="32"/>
        </w:rPr>
        <w:t>五、一般公共预算财政拨款支出决算表 .................</w:t>
      </w:r>
    </w:p>
    <w:p>
      <w:pPr>
        <w:jc w:val="left"/>
        <w:rPr>
          <w:rFonts w:ascii="仿宋" w:hAnsi="仿宋" w:eastAsia="仿宋"/>
          <w:sz w:val="32"/>
          <w:szCs w:val="32"/>
        </w:rPr>
      </w:pPr>
      <w:r>
        <w:rPr>
          <w:rFonts w:hint="eastAsia" w:ascii="仿宋" w:hAnsi="仿宋" w:eastAsia="仿宋"/>
          <w:sz w:val="32"/>
          <w:szCs w:val="32"/>
        </w:rPr>
        <w:t>六、</w:t>
      </w:r>
      <w:r>
        <w:rPr>
          <w:rFonts w:hint="eastAsia" w:ascii="仿宋" w:hAnsi="仿宋" w:eastAsia="仿宋"/>
          <w:spacing w:val="-14"/>
          <w:sz w:val="32"/>
          <w:szCs w:val="32"/>
        </w:rPr>
        <w:t>一般公共预算财政拨款基本支出决算表</w:t>
      </w:r>
      <w:r>
        <w:rPr>
          <w:rFonts w:hint="eastAsia" w:ascii="仿宋" w:hAnsi="仿宋" w:eastAsia="仿宋"/>
          <w:sz w:val="32"/>
          <w:szCs w:val="32"/>
        </w:rPr>
        <w:t>............... ..</w:t>
      </w:r>
    </w:p>
    <w:p>
      <w:pPr>
        <w:jc w:val="left"/>
        <w:rPr>
          <w:rFonts w:ascii="仿宋" w:hAnsi="仿宋" w:eastAsia="仿宋"/>
          <w:sz w:val="32"/>
          <w:szCs w:val="32"/>
        </w:rPr>
      </w:pPr>
      <w:r>
        <w:rPr>
          <w:rFonts w:hint="eastAsia" w:ascii="仿宋" w:hAnsi="仿宋" w:eastAsia="仿宋"/>
          <w:sz w:val="32"/>
          <w:szCs w:val="32"/>
        </w:rPr>
        <w:t>七、一般公共预算财政拨款“三公”经费支出决算表.......</w:t>
      </w:r>
    </w:p>
    <w:p>
      <w:pPr>
        <w:jc w:val="left"/>
        <w:rPr>
          <w:rFonts w:ascii="仿宋" w:hAnsi="仿宋" w:eastAsia="仿宋"/>
          <w:sz w:val="32"/>
          <w:szCs w:val="32"/>
        </w:rPr>
      </w:pPr>
      <w:r>
        <w:rPr>
          <w:rFonts w:hint="eastAsia" w:ascii="仿宋" w:hAnsi="仿宋" w:eastAsia="仿宋"/>
          <w:sz w:val="32"/>
          <w:szCs w:val="32"/>
        </w:rPr>
        <w:t>八、政府性基金预算财政拨款收入支出决算表 ...........</w:t>
      </w:r>
    </w:p>
    <w:p>
      <w:pPr>
        <w:jc w:val="left"/>
        <w:rPr>
          <w:rFonts w:ascii="仿宋" w:hAnsi="仿宋" w:eastAsia="仿宋"/>
          <w:sz w:val="32"/>
          <w:szCs w:val="32"/>
        </w:rPr>
      </w:pPr>
      <w:r>
        <w:rPr>
          <w:rFonts w:hint="eastAsia" w:ascii="仿宋" w:hAnsi="仿宋" w:eastAsia="仿宋"/>
          <w:sz w:val="32"/>
          <w:szCs w:val="32"/>
        </w:rPr>
        <w:t>九、</w:t>
      </w:r>
      <w:r>
        <w:rPr>
          <w:rFonts w:hint="eastAsia" w:ascii="仿宋" w:hAnsi="仿宋" w:eastAsia="仿宋"/>
          <w:spacing w:val="-14"/>
          <w:sz w:val="32"/>
          <w:szCs w:val="32"/>
        </w:rPr>
        <w:t>国有资本经营预算财政拨款支出决算表</w:t>
      </w:r>
      <w:r>
        <w:rPr>
          <w:rFonts w:hint="eastAsia" w:ascii="仿宋" w:hAnsi="仿宋" w:eastAsia="仿宋"/>
          <w:sz w:val="32"/>
          <w:szCs w:val="32"/>
        </w:rPr>
        <w:t>.................</w:t>
      </w:r>
    </w:p>
    <w:p>
      <w:pPr>
        <w:jc w:val="left"/>
        <w:rPr>
          <w:rFonts w:ascii="仿宋" w:hAnsi="仿宋" w:eastAsia="仿宋"/>
          <w:sz w:val="32"/>
          <w:szCs w:val="32"/>
        </w:rPr>
      </w:pPr>
      <w:r>
        <w:rPr>
          <w:rFonts w:hint="eastAsia" w:ascii="仿宋" w:hAnsi="仿宋" w:eastAsia="仿宋"/>
          <w:b/>
          <w:sz w:val="32"/>
          <w:szCs w:val="32"/>
        </w:rPr>
        <w:t xml:space="preserve">第三部分 </w:t>
      </w:r>
      <w:r>
        <w:rPr>
          <w:rFonts w:hint="eastAsia" w:ascii="仿宋" w:hAnsi="仿宋" w:eastAsia="仿宋" w:cs="仿宋_GB2312"/>
          <w:sz w:val="32"/>
          <w:szCs w:val="32"/>
        </w:rPr>
        <w:t>2021</w:t>
      </w:r>
      <w:r>
        <w:rPr>
          <w:rFonts w:hint="eastAsia" w:ascii="仿宋" w:hAnsi="仿宋" w:eastAsia="仿宋"/>
          <w:b/>
          <w:sz w:val="32"/>
          <w:szCs w:val="32"/>
        </w:rPr>
        <w:t>年度部门决算情况说明</w:t>
      </w:r>
      <w:r>
        <w:rPr>
          <w:rFonts w:hint="eastAsia" w:ascii="仿宋" w:hAnsi="仿宋" w:eastAsia="仿宋"/>
          <w:sz w:val="32"/>
          <w:szCs w:val="32"/>
        </w:rPr>
        <w:t xml:space="preserve"> .................</w:t>
      </w:r>
    </w:p>
    <w:p>
      <w:pPr>
        <w:jc w:val="left"/>
        <w:rPr>
          <w:rFonts w:ascii="仿宋" w:hAnsi="仿宋" w:eastAsia="仿宋"/>
          <w:sz w:val="32"/>
          <w:szCs w:val="32"/>
        </w:rPr>
      </w:pPr>
      <w:r>
        <w:rPr>
          <w:rFonts w:hint="eastAsia" w:ascii="仿宋" w:hAnsi="仿宋" w:eastAsia="仿宋"/>
          <w:sz w:val="32"/>
          <w:szCs w:val="32"/>
        </w:rPr>
        <w:t>一、收入支出决算总体情况说明 .......................</w:t>
      </w:r>
    </w:p>
    <w:p>
      <w:pPr>
        <w:jc w:val="left"/>
        <w:rPr>
          <w:rFonts w:ascii="仿宋" w:hAnsi="仿宋" w:eastAsia="仿宋"/>
          <w:sz w:val="32"/>
          <w:szCs w:val="32"/>
        </w:rPr>
      </w:pPr>
      <w:r>
        <w:rPr>
          <w:rFonts w:hint="eastAsia" w:ascii="仿宋" w:hAnsi="仿宋" w:eastAsia="仿宋"/>
          <w:sz w:val="32"/>
          <w:szCs w:val="32"/>
        </w:rPr>
        <w:t>二、一般公共预算财政拨款支出决算情况说明............</w:t>
      </w:r>
    </w:p>
    <w:p>
      <w:pPr>
        <w:jc w:val="left"/>
        <w:rPr>
          <w:rFonts w:ascii="仿宋" w:hAnsi="仿宋" w:eastAsia="仿宋"/>
          <w:sz w:val="32"/>
          <w:szCs w:val="32"/>
        </w:rPr>
      </w:pPr>
      <w:r>
        <w:rPr>
          <w:rFonts w:hint="eastAsia" w:ascii="仿宋" w:hAnsi="仿宋" w:eastAsia="仿宋"/>
          <w:sz w:val="32"/>
          <w:szCs w:val="32"/>
        </w:rPr>
        <w:t>三、政府性基金预算财政拨款支出决算情况说明 .........</w:t>
      </w:r>
    </w:p>
    <w:p>
      <w:pPr>
        <w:jc w:val="left"/>
        <w:rPr>
          <w:rFonts w:ascii="仿宋" w:hAnsi="仿宋" w:eastAsia="仿宋"/>
          <w:sz w:val="32"/>
          <w:szCs w:val="32"/>
        </w:rPr>
      </w:pPr>
      <w:r>
        <w:rPr>
          <w:rFonts w:hint="eastAsia" w:ascii="仿宋" w:hAnsi="仿宋" w:eastAsia="仿宋"/>
          <w:sz w:val="32"/>
          <w:szCs w:val="32"/>
        </w:rPr>
        <w:t>四、国有资本经营预算财政拨款支出决算情况说明........</w:t>
      </w:r>
    </w:p>
    <w:p>
      <w:pPr>
        <w:jc w:val="left"/>
        <w:rPr>
          <w:rFonts w:ascii="仿宋" w:hAnsi="仿宋" w:eastAsia="仿宋"/>
          <w:sz w:val="32"/>
          <w:szCs w:val="32"/>
        </w:rPr>
      </w:pPr>
      <w:r>
        <w:rPr>
          <w:rFonts w:hint="eastAsia" w:ascii="仿宋" w:hAnsi="仿宋" w:eastAsia="仿宋"/>
          <w:sz w:val="32"/>
          <w:szCs w:val="32"/>
        </w:rPr>
        <w:t>五、一般公共预算财政拨款基本支出决算情况说明........</w:t>
      </w:r>
    </w:p>
    <w:p>
      <w:pPr>
        <w:jc w:val="left"/>
        <w:rPr>
          <w:rFonts w:ascii="仿宋" w:hAnsi="仿宋" w:eastAsia="仿宋"/>
          <w:sz w:val="32"/>
          <w:szCs w:val="32"/>
        </w:rPr>
      </w:pPr>
      <w:r>
        <w:rPr>
          <w:rFonts w:hint="eastAsia" w:ascii="仿宋" w:hAnsi="仿宋" w:eastAsia="仿宋"/>
          <w:sz w:val="32"/>
          <w:szCs w:val="32"/>
        </w:rPr>
        <w:t>六、一般公共预算财政拨款“三公”经费支出决算情况说明 .........</w:t>
      </w:r>
    </w:p>
    <w:p>
      <w:pPr>
        <w:jc w:val="left"/>
        <w:rPr>
          <w:rFonts w:ascii="仿宋" w:hAnsi="仿宋" w:eastAsia="仿宋"/>
          <w:sz w:val="32"/>
          <w:szCs w:val="32"/>
        </w:rPr>
      </w:pPr>
      <w:r>
        <w:rPr>
          <w:rFonts w:hint="eastAsia" w:ascii="仿宋" w:hAnsi="仿宋" w:eastAsia="仿宋"/>
          <w:sz w:val="32"/>
          <w:szCs w:val="32"/>
        </w:rPr>
        <w:t>七、预算绩效情况说明................................</w:t>
      </w:r>
    </w:p>
    <w:p>
      <w:pPr>
        <w:jc w:val="left"/>
        <w:rPr>
          <w:rFonts w:ascii="仿宋" w:hAnsi="仿宋" w:eastAsia="仿宋"/>
          <w:sz w:val="32"/>
          <w:szCs w:val="32"/>
        </w:rPr>
      </w:pPr>
      <w:r>
        <w:rPr>
          <w:rFonts w:hint="eastAsia" w:ascii="仿宋" w:hAnsi="仿宋" w:eastAsia="仿宋"/>
          <w:sz w:val="32"/>
          <w:szCs w:val="32"/>
        </w:rPr>
        <w:t>八、其他重要事项情况说明...................... ......</w:t>
      </w:r>
    </w:p>
    <w:p>
      <w:pPr>
        <w:jc w:val="left"/>
        <w:rPr>
          <w:rFonts w:ascii="仿宋" w:hAnsi="仿宋" w:eastAsia="仿宋"/>
          <w:sz w:val="32"/>
          <w:szCs w:val="32"/>
        </w:rPr>
      </w:pPr>
      <w:r>
        <w:rPr>
          <w:rFonts w:hint="eastAsia" w:ascii="仿宋" w:hAnsi="仿宋" w:eastAsia="仿宋"/>
          <w:b/>
          <w:sz w:val="32"/>
          <w:szCs w:val="32"/>
        </w:rPr>
        <w:t>第四部分 名词解释</w:t>
      </w:r>
      <w:r>
        <w:rPr>
          <w:rFonts w:hint="eastAsia" w:ascii="仿宋" w:hAnsi="仿宋" w:eastAsia="仿宋"/>
          <w:sz w:val="32"/>
          <w:szCs w:val="32"/>
        </w:rPr>
        <w:t xml:space="preserve"> .................................</w:t>
      </w:r>
    </w:p>
    <w:p>
      <w:pPr>
        <w:jc w:val="left"/>
        <w:rPr>
          <w:rFonts w:ascii="仿宋" w:hAnsi="仿宋" w:eastAsia="仿宋"/>
          <w:sz w:val="32"/>
          <w:szCs w:val="32"/>
        </w:rPr>
      </w:pPr>
      <w:r>
        <w:rPr>
          <w:rFonts w:hint="eastAsia" w:ascii="仿宋" w:hAnsi="仿宋" w:eastAsia="仿宋"/>
          <w:b/>
          <w:sz w:val="32"/>
          <w:szCs w:val="32"/>
        </w:rPr>
        <w:t>第五部分 附件</w:t>
      </w:r>
      <w:r>
        <w:rPr>
          <w:rFonts w:hint="eastAsia" w:ascii="仿宋" w:hAnsi="仿宋" w:eastAsia="仿宋"/>
          <w:sz w:val="32"/>
          <w:szCs w:val="32"/>
        </w:rPr>
        <w:t xml:space="preserve"> .....................................</w:t>
      </w: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left"/>
        <w:rPr>
          <w:rFonts w:ascii="仿宋" w:hAnsi="仿宋" w:eastAsia="仿宋"/>
          <w:sz w:val="32"/>
          <w:szCs w:val="32"/>
        </w:rPr>
      </w:pPr>
    </w:p>
    <w:p>
      <w:pPr>
        <w:jc w:val="center"/>
        <w:rPr>
          <w:rFonts w:ascii="黑体" w:hAnsi="黑体" w:eastAsia="黑体"/>
          <w:sz w:val="36"/>
          <w:szCs w:val="36"/>
        </w:rPr>
      </w:pPr>
      <w:r>
        <w:rPr>
          <w:rFonts w:hint="eastAsia" w:ascii="黑体" w:hAnsi="黑体" w:eastAsia="黑体"/>
          <w:sz w:val="36"/>
          <w:szCs w:val="36"/>
        </w:rPr>
        <w:t>第一部分 单位概况</w:t>
      </w:r>
    </w:p>
    <w:p>
      <w:pPr>
        <w:jc w:val="center"/>
        <w:rPr>
          <w:rFonts w:ascii="黑体" w:hAnsi="黑体" w:eastAsia="黑体"/>
          <w:sz w:val="36"/>
          <w:szCs w:val="36"/>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一、单位主要职责</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宁德市特殊教育学校是由宁德市教育局主办的公立学校，是一所招收有特殊教育需要儿童就读的十二年一贯制的寄宿制学校。学校占地15409平方米，校舍建筑面积</w:t>
      </w:r>
      <w:r>
        <w:rPr>
          <w:rFonts w:hint="eastAsia" w:ascii="仿宋_GB2312" w:hAnsi="仿宋" w:eastAsia="仿宋_GB2312"/>
          <w:sz w:val="32"/>
          <w:szCs w:val="32"/>
          <w:lang w:val="en-US" w:eastAsia="zh-CN"/>
        </w:rPr>
        <w:t>13146.15</w:t>
      </w:r>
      <w:r>
        <w:rPr>
          <w:rFonts w:hint="eastAsia" w:ascii="仿宋_GB2312" w:hAnsi="仿宋" w:eastAsia="仿宋_GB2312"/>
          <w:sz w:val="32"/>
          <w:szCs w:val="32"/>
        </w:rPr>
        <w:t>平方米，学校除了开设文化课课程外，还设有美术、推拿、美容美发、信息技术等职业课程。适应和满足盲聋哑学生的学习、生活、康复和各种职业教育的需要。</w:t>
      </w:r>
    </w:p>
    <w:p>
      <w:pPr>
        <w:spacing w:line="600" w:lineRule="exact"/>
        <w:ind w:firstLine="640" w:firstLineChars="200"/>
        <w:rPr>
          <w:rFonts w:ascii="黑体" w:hAnsi="黑体" w:eastAsia="黑体"/>
          <w:sz w:val="32"/>
          <w:szCs w:val="32"/>
          <w:highlight w:val="none"/>
        </w:rPr>
      </w:pPr>
      <w:r>
        <w:rPr>
          <w:rFonts w:hint="eastAsia" w:ascii="黑体" w:hAnsi="黑体" w:eastAsia="黑体"/>
          <w:sz w:val="32"/>
          <w:szCs w:val="32"/>
        </w:rPr>
        <w:t>二、</w:t>
      </w:r>
      <w:r>
        <w:rPr>
          <w:rFonts w:hint="eastAsia" w:ascii="黑体" w:hAnsi="黑体" w:eastAsia="黑体"/>
          <w:sz w:val="32"/>
          <w:szCs w:val="32"/>
          <w:highlight w:val="none"/>
        </w:rPr>
        <w:t>单位基本情况</w:t>
      </w:r>
    </w:p>
    <w:p>
      <w:pPr>
        <w:tabs>
          <w:tab w:val="left" w:pos="7513"/>
        </w:tabs>
        <w:adjustRightInd w:val="0"/>
        <w:snapToGrid w:val="0"/>
        <w:spacing w:line="600" w:lineRule="exact"/>
        <w:ind w:firstLine="640" w:firstLineChars="200"/>
        <w:rPr>
          <w:rFonts w:ascii="仿宋" w:hAnsi="仿宋" w:eastAsia="仿宋" w:cs="Times New Roman"/>
          <w:sz w:val="32"/>
          <w:szCs w:val="32"/>
          <w:highlight w:val="none"/>
        </w:rPr>
      </w:pPr>
      <w:r>
        <w:rPr>
          <w:rFonts w:hint="eastAsia" w:ascii="仿宋" w:hAnsi="仿宋" w:eastAsia="仿宋" w:cs="仿宋_GB2312"/>
          <w:sz w:val="32"/>
          <w:szCs w:val="32"/>
          <w:highlight w:val="none"/>
        </w:rPr>
        <w:t>从决算单位构成看，本</w:t>
      </w:r>
      <w:r>
        <w:rPr>
          <w:rFonts w:hint="eastAsia" w:ascii="仿宋" w:hAnsi="仿宋" w:eastAsia="仿宋"/>
          <w:sz w:val="32"/>
          <w:szCs w:val="32"/>
          <w:highlight w:val="none"/>
        </w:rPr>
        <w:t>单位包括</w:t>
      </w:r>
      <w:r>
        <w:rPr>
          <w:rFonts w:hint="eastAsia" w:ascii="仿宋" w:hAnsi="仿宋" w:eastAsia="仿宋" w:cs="仿宋_GB2312"/>
          <w:sz w:val="32"/>
          <w:szCs w:val="32"/>
          <w:highlight w:val="none"/>
          <w:lang w:val="en-US" w:eastAsia="zh-CN"/>
        </w:rPr>
        <w:t>1</w:t>
      </w:r>
      <w:r>
        <w:rPr>
          <w:rFonts w:hint="eastAsia" w:ascii="仿宋" w:hAnsi="仿宋" w:eastAsia="仿宋"/>
          <w:sz w:val="32"/>
          <w:szCs w:val="32"/>
          <w:highlight w:val="none"/>
        </w:rPr>
        <w:t>个内设机构，其中：列入</w:t>
      </w:r>
      <w:r>
        <w:rPr>
          <w:rFonts w:hint="eastAsia" w:ascii="仿宋" w:hAnsi="仿宋" w:eastAsia="仿宋" w:cs="仿宋_GB2312"/>
          <w:sz w:val="32"/>
          <w:szCs w:val="32"/>
          <w:highlight w:val="none"/>
        </w:rPr>
        <w:t>2021</w:t>
      </w:r>
      <w:r>
        <w:rPr>
          <w:rFonts w:hint="eastAsia" w:ascii="仿宋" w:hAnsi="仿宋" w:eastAsia="仿宋"/>
          <w:sz w:val="32"/>
          <w:szCs w:val="32"/>
          <w:highlight w:val="none"/>
        </w:rPr>
        <w:t>年部门决算编制范围的单位详细情况见下表</w:t>
      </w:r>
      <w:r>
        <w:rPr>
          <w:rFonts w:ascii="仿宋" w:hAnsi="仿宋" w:eastAsia="仿宋"/>
          <w:sz w:val="32"/>
          <w:szCs w:val="32"/>
          <w:highlight w:val="none"/>
        </w:rPr>
        <w:t>:</w:t>
      </w:r>
    </w:p>
    <w:tbl>
      <w:tblPr>
        <w:tblStyle w:val="5"/>
        <w:tblW w:w="6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_GB2312"/>
                <w:sz w:val="32"/>
                <w:szCs w:val="32"/>
                <w:highlight w:val="none"/>
              </w:rPr>
            </w:pPr>
            <w:r>
              <w:rPr>
                <w:rFonts w:hint="eastAsia" w:ascii="仿宋" w:hAnsi="仿宋" w:eastAsia="仿宋" w:cs="仿宋_GB2312"/>
                <w:sz w:val="32"/>
                <w:szCs w:val="32"/>
                <w:highlight w:val="none"/>
              </w:rPr>
              <w:t>单位名称</w:t>
            </w:r>
          </w:p>
        </w:tc>
        <w:tc>
          <w:tcPr>
            <w:tcW w:w="213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_GB2312"/>
                <w:sz w:val="32"/>
                <w:szCs w:val="32"/>
                <w:highlight w:val="none"/>
              </w:rPr>
            </w:pPr>
            <w:r>
              <w:rPr>
                <w:rFonts w:hint="eastAsia" w:ascii="仿宋" w:hAnsi="仿宋" w:eastAsia="仿宋" w:cs="仿宋_GB2312"/>
                <w:sz w:val="32"/>
                <w:szCs w:val="32"/>
                <w:highlight w:val="none"/>
              </w:rPr>
              <w:t>单位性质</w:t>
            </w:r>
          </w:p>
        </w:tc>
        <w:tc>
          <w:tcPr>
            <w:tcW w:w="213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cs="仿宋_GB2312"/>
                <w:sz w:val="32"/>
                <w:szCs w:val="32"/>
                <w:highlight w:val="none"/>
              </w:rPr>
            </w:pPr>
            <w:r>
              <w:rPr>
                <w:rFonts w:hint="eastAsia" w:ascii="仿宋" w:hAnsi="仿宋" w:eastAsia="仿宋" w:cs="仿宋_GB2312"/>
                <w:sz w:val="32"/>
                <w:szCs w:val="32"/>
                <w:highlight w:val="none"/>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600" w:lineRule="exact"/>
              <w:rPr>
                <w:rFonts w:hint="default" w:ascii="仿宋" w:hAnsi="仿宋" w:eastAsia="仿宋" w:cs="Times New Roman"/>
                <w:b/>
                <w:bCs/>
                <w:sz w:val="32"/>
                <w:szCs w:val="32"/>
                <w:highlight w:val="none"/>
                <w:lang w:val="en-US" w:eastAsia="zh-CN"/>
              </w:rPr>
            </w:pPr>
            <w:r>
              <w:rPr>
                <w:rFonts w:hint="eastAsia" w:ascii="仿宋" w:hAnsi="仿宋" w:eastAsia="仿宋" w:cs="Times New Roman"/>
                <w:b/>
                <w:bCs/>
                <w:sz w:val="32"/>
                <w:szCs w:val="32"/>
                <w:highlight w:val="none"/>
                <w:lang w:val="en-US" w:eastAsia="zh-CN"/>
              </w:rPr>
              <w:t>宁德市特殊教育学校</w:t>
            </w:r>
          </w:p>
        </w:tc>
        <w:tc>
          <w:tcPr>
            <w:tcW w:w="2130"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600" w:lineRule="exact"/>
              <w:rPr>
                <w:rFonts w:ascii="仿宋" w:hAnsi="仿宋" w:eastAsia="仿宋" w:cs="Times New Roman"/>
                <w:b/>
                <w:bCs/>
                <w:sz w:val="32"/>
                <w:szCs w:val="32"/>
                <w:highlight w:val="none"/>
              </w:rPr>
            </w:pPr>
            <w:r>
              <w:rPr>
                <w:rFonts w:hint="eastAsia" w:ascii="仿宋" w:hAnsi="仿宋" w:eastAsia="仿宋" w:cs="Times New Roman"/>
                <w:b/>
                <w:bCs/>
                <w:sz w:val="32"/>
                <w:szCs w:val="32"/>
                <w:highlight w:val="none"/>
                <w:lang w:val="en-US" w:eastAsia="zh-CN"/>
              </w:rPr>
              <w:t>财政核拨</w:t>
            </w:r>
          </w:p>
        </w:tc>
        <w:tc>
          <w:tcPr>
            <w:tcW w:w="2131" w:type="dxa"/>
            <w:tcBorders>
              <w:top w:val="single" w:color="auto" w:sz="4" w:space="0"/>
              <w:left w:val="single" w:color="auto" w:sz="4" w:space="0"/>
              <w:bottom w:val="single" w:color="auto" w:sz="4" w:space="0"/>
              <w:right w:val="single" w:color="auto" w:sz="4" w:space="0"/>
            </w:tcBorders>
          </w:tcPr>
          <w:p>
            <w:pPr>
              <w:tabs>
                <w:tab w:val="left" w:pos="7513"/>
              </w:tabs>
              <w:adjustRightInd w:val="0"/>
              <w:snapToGrid w:val="0"/>
              <w:spacing w:line="600" w:lineRule="exact"/>
              <w:rPr>
                <w:rFonts w:hint="default" w:ascii="仿宋" w:hAnsi="仿宋" w:eastAsia="仿宋" w:cs="Times New Roman"/>
                <w:b/>
                <w:bCs/>
                <w:sz w:val="32"/>
                <w:szCs w:val="32"/>
                <w:highlight w:val="none"/>
                <w:lang w:val="en-US" w:eastAsia="zh-CN"/>
              </w:rPr>
            </w:pPr>
            <w:r>
              <w:rPr>
                <w:rFonts w:hint="eastAsia" w:ascii="仿宋" w:hAnsi="仿宋" w:eastAsia="仿宋" w:cs="Times New Roman"/>
                <w:b/>
                <w:bCs/>
                <w:sz w:val="32"/>
                <w:szCs w:val="32"/>
                <w:highlight w:val="none"/>
                <w:lang w:val="en-US" w:eastAsia="zh-CN"/>
              </w:rPr>
              <w:t>53</w:t>
            </w:r>
          </w:p>
        </w:tc>
      </w:tr>
    </w:tbl>
    <w:p>
      <w:pPr>
        <w:spacing w:line="600" w:lineRule="exact"/>
        <w:ind w:firstLine="640" w:firstLineChars="200"/>
        <w:rPr>
          <w:rFonts w:ascii="黑体" w:hAnsi="黑体" w:eastAsia="黑体"/>
          <w:sz w:val="32"/>
          <w:szCs w:val="32"/>
          <w:highlight w:val="none"/>
        </w:rPr>
      </w:pPr>
      <w:bookmarkStart w:id="0" w:name="_GoBack"/>
      <w:bookmarkEnd w:id="0"/>
      <w:r>
        <w:rPr>
          <w:rFonts w:hint="eastAsia" w:ascii="黑体" w:hAnsi="黑体" w:eastAsia="黑体"/>
          <w:sz w:val="32"/>
          <w:szCs w:val="32"/>
          <w:highlight w:val="none"/>
        </w:rPr>
        <w:t>三、单位主要工作总结</w:t>
      </w:r>
    </w:p>
    <w:p>
      <w:pPr>
        <w:spacing w:line="600" w:lineRule="exact"/>
        <w:ind w:firstLine="640"/>
        <w:jc w:val="center"/>
        <w:rPr>
          <w:rFonts w:hint="eastAsia" w:ascii="仿宋_GB2312" w:hAnsi="仿宋" w:eastAsia="仿宋_GB2312"/>
          <w:sz w:val="32"/>
          <w:szCs w:val="32"/>
          <w:highlight w:val="none"/>
          <w:lang w:val="en-US" w:eastAsia="zh-CN"/>
        </w:rPr>
      </w:pPr>
      <w:r>
        <w:rPr>
          <w:rFonts w:hint="eastAsia" w:ascii="仿宋" w:hAnsi="仿宋" w:eastAsia="仿宋"/>
          <w:sz w:val="32"/>
          <w:szCs w:val="32"/>
          <w:highlight w:val="none"/>
        </w:rPr>
        <w:t>2021年，</w:t>
      </w:r>
      <w:r>
        <w:rPr>
          <w:rFonts w:hint="eastAsia" w:ascii="仿宋_GB2312" w:hAnsi="仿宋" w:eastAsia="仿宋_GB2312"/>
          <w:sz w:val="32"/>
          <w:szCs w:val="32"/>
          <w:highlight w:val="none"/>
        </w:rPr>
        <w:t>我校在保证“义务教育+职业教育”的教学模式正常开展教育教学活动外，还积极改善我校办学条件。主要取得的成效：1、高三毕业生</w:t>
      </w:r>
      <w:r>
        <w:rPr>
          <w:rFonts w:hint="eastAsia" w:ascii="仿宋_GB2312" w:hAnsi="仿宋" w:eastAsia="仿宋_GB2312"/>
          <w:sz w:val="32"/>
          <w:szCs w:val="32"/>
          <w:highlight w:val="none"/>
          <w:lang w:val="en-US" w:eastAsia="zh-CN"/>
        </w:rPr>
        <w:t>6</w:t>
      </w:r>
      <w:r>
        <w:rPr>
          <w:rFonts w:hint="eastAsia" w:ascii="仿宋_GB2312" w:hAnsi="仿宋" w:eastAsia="仿宋_GB2312"/>
          <w:sz w:val="32"/>
          <w:szCs w:val="32"/>
          <w:highlight w:val="none"/>
        </w:rPr>
        <w:t>人参加高考，</w:t>
      </w: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rPr>
        <w:t>人考入福州职业技术学院；</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、招收学生数</w:t>
      </w:r>
      <w:r>
        <w:rPr>
          <w:rFonts w:hint="eastAsia" w:ascii="仿宋_GB2312" w:hAnsi="仿宋" w:eastAsia="仿宋_GB2312"/>
          <w:sz w:val="32"/>
          <w:szCs w:val="32"/>
          <w:highlight w:val="none"/>
          <w:lang w:val="en-US" w:eastAsia="zh-CN"/>
        </w:rPr>
        <w:t>27</w:t>
      </w:r>
      <w:r>
        <w:rPr>
          <w:rFonts w:hint="eastAsia" w:ascii="仿宋_GB2312" w:hAnsi="仿宋" w:eastAsia="仿宋_GB2312"/>
          <w:sz w:val="32"/>
          <w:szCs w:val="32"/>
          <w:highlight w:val="none"/>
        </w:rPr>
        <w:t>人（聋生</w:t>
      </w:r>
      <w:r>
        <w:rPr>
          <w:rFonts w:hint="eastAsia" w:ascii="仿宋_GB2312" w:hAnsi="仿宋" w:eastAsia="仿宋_GB2312"/>
          <w:sz w:val="32"/>
          <w:szCs w:val="32"/>
          <w:highlight w:val="none"/>
          <w:lang w:val="en-US" w:eastAsia="zh-CN"/>
        </w:rPr>
        <w:t>22</w:t>
      </w:r>
      <w:r>
        <w:rPr>
          <w:rFonts w:hint="eastAsia" w:ascii="仿宋_GB2312" w:hAnsi="仿宋" w:eastAsia="仿宋_GB2312"/>
          <w:sz w:val="32"/>
          <w:szCs w:val="32"/>
          <w:highlight w:val="none"/>
        </w:rPr>
        <w:t>人，</w:t>
      </w:r>
      <w:r>
        <w:rPr>
          <w:rFonts w:hint="eastAsia" w:ascii="仿宋_GB2312" w:hAnsi="仿宋" w:eastAsia="仿宋_GB2312"/>
          <w:sz w:val="32"/>
          <w:szCs w:val="32"/>
          <w:highlight w:val="none"/>
          <w:lang w:val="en-US" w:eastAsia="zh-CN"/>
        </w:rPr>
        <w:t>盲生5</w:t>
      </w:r>
    </w:p>
    <w:p>
      <w:pPr>
        <w:spacing w:line="600" w:lineRule="exact"/>
        <w:jc w:val="both"/>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人），</w:t>
      </w:r>
      <w:r>
        <w:rPr>
          <w:rFonts w:hint="eastAsia" w:ascii="仿宋_GB2312" w:hAnsi="仿宋" w:eastAsia="仿宋_GB2312"/>
          <w:sz w:val="32"/>
          <w:szCs w:val="32"/>
          <w:highlight w:val="none"/>
        </w:rPr>
        <w:t>解决了宁德市盲聋童的义务教育</w:t>
      </w:r>
      <w:r>
        <w:rPr>
          <w:rFonts w:hint="eastAsia" w:ascii="仿宋_GB2312" w:hAnsi="仿宋" w:eastAsia="仿宋_GB2312"/>
          <w:sz w:val="32"/>
          <w:szCs w:val="32"/>
          <w:highlight w:val="none"/>
          <w:lang w:val="en-US" w:eastAsia="zh-CN"/>
        </w:rPr>
        <w:t>；3、成功举办2020-2021学年度庆“建党100周年”文艺汇演。</w:t>
      </w:r>
    </w:p>
    <w:p>
      <w:pPr>
        <w:spacing w:line="600" w:lineRule="exact"/>
        <w:jc w:val="center"/>
        <w:rPr>
          <w:rFonts w:ascii="黑体" w:hAnsi="黑体" w:eastAsia="黑体"/>
          <w:sz w:val="36"/>
          <w:szCs w:val="36"/>
          <w:highlight w:val="none"/>
        </w:rPr>
      </w:pPr>
      <w:r>
        <w:rPr>
          <w:rFonts w:hint="eastAsia" w:ascii="黑体" w:hAnsi="黑体" w:eastAsia="黑体"/>
          <w:sz w:val="36"/>
          <w:szCs w:val="36"/>
          <w:highlight w:val="none"/>
        </w:rPr>
        <w:t xml:space="preserve">第二部分 </w:t>
      </w:r>
      <w:r>
        <w:rPr>
          <w:rFonts w:hint="eastAsia" w:ascii="黑体" w:hAnsi="黑体" w:eastAsia="黑体"/>
          <w:sz w:val="36"/>
          <w:szCs w:val="36"/>
          <w:highlight w:val="none"/>
          <w:lang w:val="en-US" w:eastAsia="zh-CN"/>
        </w:rPr>
        <w:t>2021</w:t>
      </w:r>
      <w:r>
        <w:rPr>
          <w:rFonts w:hint="eastAsia" w:ascii="黑体" w:hAnsi="黑体" w:eastAsia="黑体"/>
          <w:sz w:val="36"/>
          <w:szCs w:val="36"/>
          <w:highlight w:val="none"/>
        </w:rPr>
        <w:t>年度部门决算表</w:t>
      </w:r>
    </w:p>
    <w:p>
      <w:pPr>
        <w:spacing w:line="600" w:lineRule="exact"/>
        <w:jc w:val="center"/>
        <w:rPr>
          <w:rFonts w:ascii="黑体" w:hAnsi="黑体" w:eastAsia="黑体"/>
          <w:sz w:val="36"/>
          <w:szCs w:val="36"/>
          <w:highlight w:val="none"/>
        </w:rPr>
      </w:pPr>
      <w:r>
        <w:rPr>
          <w:rFonts w:hint="eastAsia" w:cs="Times New Roman" w:asciiTheme="majorEastAsia" w:hAnsiTheme="majorEastAsia" w:eastAsiaTheme="majorEastAsia"/>
          <w:kern w:val="0"/>
          <w:sz w:val="36"/>
          <w:szCs w:val="20"/>
          <w:highlight w:val="none"/>
        </w:rPr>
        <w:t>（</w:t>
      </w:r>
      <w:r>
        <w:rPr>
          <w:rFonts w:hint="eastAsia" w:ascii="仿宋" w:hAnsi="仿宋" w:eastAsia="仿宋"/>
          <w:sz w:val="32"/>
          <w:szCs w:val="32"/>
          <w:highlight w:val="none"/>
        </w:rPr>
        <w:t>单位决算公开表由部门决算网络版公开任务系统导出）</w:t>
      </w:r>
    </w:p>
    <w:p>
      <w:pPr>
        <w:pStyle w:val="8"/>
        <w:numPr>
          <w:ilvl w:val="0"/>
          <w:numId w:val="1"/>
        </w:numPr>
        <w:ind w:firstLineChars="0"/>
        <w:jc w:val="left"/>
        <w:rPr>
          <w:rFonts w:ascii="黑体" w:hAnsi="仿宋" w:eastAsia="黑体"/>
          <w:sz w:val="32"/>
          <w:szCs w:val="32"/>
          <w:highlight w:val="none"/>
        </w:rPr>
      </w:pPr>
      <w:r>
        <w:rPr>
          <w:rFonts w:hint="eastAsia" w:ascii="黑体" w:hAnsi="仿宋" w:eastAsia="黑体"/>
          <w:sz w:val="32"/>
          <w:szCs w:val="32"/>
          <w:highlight w:val="none"/>
        </w:rPr>
        <w:t xml:space="preserve">收入支出决算总表 </w:t>
      </w:r>
    </w:p>
    <w:tbl>
      <w:tblPr>
        <w:tblStyle w:val="5"/>
        <w:tblW w:w="9200" w:type="dxa"/>
        <w:tblInd w:w="93" w:type="dxa"/>
        <w:tblLayout w:type="fixed"/>
        <w:tblCellMar>
          <w:top w:w="0" w:type="dxa"/>
          <w:left w:w="108" w:type="dxa"/>
          <w:bottom w:w="0" w:type="dxa"/>
          <w:right w:w="108" w:type="dxa"/>
        </w:tblCellMar>
      </w:tblPr>
      <w:tblGrid>
        <w:gridCol w:w="3306"/>
        <w:gridCol w:w="1117"/>
        <w:gridCol w:w="3703"/>
        <w:gridCol w:w="1074"/>
      </w:tblGrid>
      <w:tr>
        <w:tblPrEx>
          <w:tblCellMar>
            <w:top w:w="0" w:type="dxa"/>
            <w:left w:w="108" w:type="dxa"/>
            <w:bottom w:w="0" w:type="dxa"/>
            <w:right w:w="108" w:type="dxa"/>
          </w:tblCellMar>
        </w:tblPrEx>
        <w:trPr>
          <w:trHeight w:val="540" w:hRule="atLeast"/>
        </w:trPr>
        <w:tc>
          <w:tcPr>
            <w:tcW w:w="9200" w:type="dxa"/>
            <w:gridSpan w:val="4"/>
            <w:tcBorders>
              <w:top w:val="nil"/>
              <w:left w:val="nil"/>
              <w:bottom w:val="nil"/>
              <w:right w:val="nil"/>
            </w:tcBorders>
            <w:shd w:val="clear" w:color="auto" w:fill="auto"/>
            <w:vAlign w:val="bottom"/>
          </w:tcPr>
          <w:p>
            <w:pPr>
              <w:widowControl/>
              <w:spacing w:line="240" w:lineRule="auto"/>
              <w:jc w:val="center"/>
              <w:rPr>
                <w:rFonts w:ascii="黑体" w:hAnsi="Arial" w:eastAsia="黑体" w:cs="Arial"/>
                <w:kern w:val="0"/>
                <w:sz w:val="44"/>
                <w:szCs w:val="44"/>
                <w:highlight w:val="none"/>
              </w:rPr>
            </w:pPr>
            <w:r>
              <w:rPr>
                <w:rFonts w:hint="eastAsia" w:ascii="黑体" w:hAnsi="Arial" w:eastAsia="黑体" w:cs="Arial"/>
                <w:color w:val="000000"/>
                <w:kern w:val="0"/>
                <w:sz w:val="36"/>
                <w:szCs w:val="36"/>
                <w:highlight w:val="none"/>
              </w:rPr>
              <w:t>收入支出决算总表</w:t>
            </w:r>
          </w:p>
        </w:tc>
      </w:tr>
      <w:tr>
        <w:tblPrEx>
          <w:tblCellMar>
            <w:top w:w="0" w:type="dxa"/>
            <w:left w:w="108" w:type="dxa"/>
            <w:bottom w:w="0" w:type="dxa"/>
            <w:right w:w="108" w:type="dxa"/>
          </w:tblCellMar>
        </w:tblPrEx>
        <w:trPr>
          <w:trHeight w:val="300" w:hRule="atLeast"/>
        </w:trPr>
        <w:tc>
          <w:tcPr>
            <w:tcW w:w="3306" w:type="dxa"/>
            <w:tcBorders>
              <w:top w:val="nil"/>
              <w:left w:val="nil"/>
              <w:bottom w:val="nil"/>
              <w:right w:val="nil"/>
            </w:tcBorders>
            <w:shd w:val="clear" w:color="auto" w:fill="auto"/>
            <w:vAlign w:val="bottom"/>
          </w:tcPr>
          <w:p>
            <w:pPr>
              <w:widowControl/>
              <w:spacing w:line="240" w:lineRule="auto"/>
              <w:jc w:val="left"/>
              <w:rPr>
                <w:rFonts w:ascii="宋体" w:hAnsi="宋体" w:eastAsia="宋体" w:cs="Arial"/>
                <w:color w:val="000000"/>
                <w:kern w:val="0"/>
                <w:sz w:val="22"/>
                <w:highlight w:val="none"/>
              </w:rPr>
            </w:pPr>
          </w:p>
        </w:tc>
        <w:tc>
          <w:tcPr>
            <w:tcW w:w="1117" w:type="dxa"/>
            <w:tcBorders>
              <w:top w:val="nil"/>
              <w:left w:val="nil"/>
              <w:bottom w:val="nil"/>
              <w:right w:val="nil"/>
            </w:tcBorders>
            <w:shd w:val="clear" w:color="auto" w:fill="auto"/>
            <w:vAlign w:val="bottom"/>
          </w:tcPr>
          <w:p>
            <w:pPr>
              <w:widowControl/>
              <w:spacing w:line="240" w:lineRule="auto"/>
              <w:jc w:val="right"/>
              <w:rPr>
                <w:rFonts w:ascii="宋体" w:hAnsi="宋体" w:eastAsia="宋体" w:cs="Arial"/>
                <w:color w:val="000000"/>
                <w:kern w:val="0"/>
                <w:sz w:val="20"/>
                <w:szCs w:val="20"/>
                <w:highlight w:val="none"/>
              </w:rPr>
            </w:pPr>
          </w:p>
        </w:tc>
        <w:tc>
          <w:tcPr>
            <w:tcW w:w="4777" w:type="dxa"/>
            <w:gridSpan w:val="2"/>
            <w:tcBorders>
              <w:top w:val="nil"/>
              <w:left w:val="nil"/>
              <w:bottom w:val="nil"/>
              <w:right w:val="nil"/>
            </w:tcBorders>
            <w:shd w:val="clear" w:color="auto" w:fill="auto"/>
            <w:vAlign w:val="bottom"/>
          </w:tcPr>
          <w:p>
            <w:pPr>
              <w:widowControl/>
              <w:spacing w:line="240" w:lineRule="auto"/>
              <w:jc w:val="right"/>
              <w:rPr>
                <w:rFonts w:ascii="宋体" w:hAnsi="宋体" w:eastAsia="宋体" w:cs="Arial"/>
                <w:kern w:val="0"/>
                <w:sz w:val="20"/>
                <w:szCs w:val="20"/>
                <w:highlight w:val="none"/>
              </w:rPr>
            </w:pPr>
            <w:r>
              <w:rPr>
                <w:rFonts w:hint="eastAsia" w:ascii="宋体" w:hAnsi="宋体" w:eastAsia="宋体" w:cs="Arial"/>
                <w:kern w:val="0"/>
                <w:sz w:val="20"/>
                <w:szCs w:val="20"/>
                <w:highlight w:val="none"/>
              </w:rPr>
              <w:t>公开01表</w:t>
            </w:r>
          </w:p>
        </w:tc>
      </w:tr>
      <w:tr>
        <w:tblPrEx>
          <w:tblCellMar>
            <w:top w:w="0" w:type="dxa"/>
            <w:left w:w="108" w:type="dxa"/>
            <w:bottom w:w="0" w:type="dxa"/>
            <w:right w:w="108" w:type="dxa"/>
          </w:tblCellMar>
        </w:tblPrEx>
        <w:trPr>
          <w:trHeight w:val="300" w:hRule="atLeast"/>
        </w:trPr>
        <w:tc>
          <w:tcPr>
            <w:tcW w:w="3306" w:type="dxa"/>
            <w:tcBorders>
              <w:top w:val="nil"/>
              <w:left w:val="nil"/>
              <w:bottom w:val="nil"/>
              <w:right w:val="nil"/>
            </w:tcBorders>
            <w:shd w:val="clear" w:color="auto" w:fill="auto"/>
            <w:vAlign w:val="bottom"/>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单位：</w:t>
            </w:r>
          </w:p>
        </w:tc>
        <w:tc>
          <w:tcPr>
            <w:tcW w:w="1117" w:type="dxa"/>
            <w:tcBorders>
              <w:top w:val="nil"/>
              <w:left w:val="nil"/>
              <w:bottom w:val="nil"/>
              <w:right w:val="nil"/>
            </w:tcBorders>
            <w:shd w:val="clear" w:color="auto" w:fill="auto"/>
            <w:vAlign w:val="bottom"/>
          </w:tcPr>
          <w:p>
            <w:pPr>
              <w:widowControl/>
              <w:spacing w:line="240" w:lineRule="auto"/>
              <w:jc w:val="right"/>
              <w:rPr>
                <w:rFonts w:ascii="宋体" w:hAnsi="宋体" w:eastAsia="宋体" w:cs="Arial"/>
                <w:color w:val="000000"/>
                <w:kern w:val="0"/>
                <w:sz w:val="20"/>
                <w:szCs w:val="20"/>
                <w:highlight w:val="none"/>
              </w:rPr>
            </w:pPr>
          </w:p>
        </w:tc>
        <w:tc>
          <w:tcPr>
            <w:tcW w:w="4777" w:type="dxa"/>
            <w:gridSpan w:val="2"/>
            <w:tcBorders>
              <w:top w:val="nil"/>
              <w:left w:val="nil"/>
              <w:bottom w:val="nil"/>
              <w:right w:val="nil"/>
            </w:tcBorders>
            <w:shd w:val="clear" w:color="auto" w:fill="auto"/>
            <w:vAlign w:val="bottom"/>
          </w:tcPr>
          <w:p>
            <w:pPr>
              <w:widowControl/>
              <w:spacing w:line="240" w:lineRule="auto"/>
              <w:jc w:val="right"/>
              <w:rPr>
                <w:rFonts w:ascii="宋体" w:hAnsi="宋体" w:eastAsia="宋体" w:cs="Arial"/>
                <w:kern w:val="0"/>
                <w:sz w:val="20"/>
                <w:szCs w:val="20"/>
                <w:highlight w:val="none"/>
              </w:rPr>
            </w:pPr>
            <w:r>
              <w:rPr>
                <w:rFonts w:hint="eastAsia" w:ascii="宋体" w:hAnsi="宋体" w:eastAsia="宋体" w:cs="Arial"/>
                <w:kern w:val="0"/>
                <w:sz w:val="20"/>
                <w:szCs w:val="20"/>
                <w:highlight w:val="none"/>
              </w:rPr>
              <w:t>单位：万元</w:t>
            </w:r>
          </w:p>
        </w:tc>
      </w:tr>
      <w:tr>
        <w:tblPrEx>
          <w:tblCellMar>
            <w:top w:w="0" w:type="dxa"/>
            <w:left w:w="108" w:type="dxa"/>
            <w:bottom w:w="0" w:type="dxa"/>
            <w:right w:w="108" w:type="dxa"/>
          </w:tblCellMar>
        </w:tblPrEx>
        <w:trPr>
          <w:trHeight w:val="308" w:hRule="atLeast"/>
        </w:trPr>
        <w:tc>
          <w:tcPr>
            <w:tcW w:w="4423"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收入</w:t>
            </w:r>
          </w:p>
        </w:tc>
        <w:tc>
          <w:tcPr>
            <w:tcW w:w="4777" w:type="dxa"/>
            <w:gridSpan w:val="2"/>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支出</w:t>
            </w:r>
          </w:p>
        </w:tc>
      </w:tr>
      <w:tr>
        <w:tblPrEx>
          <w:tblCellMar>
            <w:top w:w="0" w:type="dxa"/>
            <w:left w:w="108" w:type="dxa"/>
            <w:bottom w:w="0" w:type="dxa"/>
            <w:right w:w="108" w:type="dxa"/>
          </w:tblCellMar>
        </w:tblPrEx>
        <w:trPr>
          <w:trHeight w:val="308" w:hRule="atLeast"/>
        </w:trPr>
        <w:tc>
          <w:tcPr>
            <w:tcW w:w="330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项目</w:t>
            </w:r>
          </w:p>
        </w:tc>
        <w:tc>
          <w:tcPr>
            <w:tcW w:w="1117"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决算数</w:t>
            </w:r>
          </w:p>
        </w:tc>
        <w:tc>
          <w:tcPr>
            <w:tcW w:w="3703"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项目(按支出功能分类)</w:t>
            </w:r>
          </w:p>
        </w:tc>
        <w:tc>
          <w:tcPr>
            <w:tcW w:w="1074"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决算数</w:t>
            </w:r>
          </w:p>
        </w:tc>
      </w:tr>
      <w:tr>
        <w:tblPrEx>
          <w:tblCellMar>
            <w:top w:w="0" w:type="dxa"/>
            <w:left w:w="108" w:type="dxa"/>
            <w:bottom w:w="0" w:type="dxa"/>
            <w:right w:w="108" w:type="dxa"/>
          </w:tblCellMar>
        </w:tblPrEx>
        <w:trPr>
          <w:trHeight w:val="308" w:hRule="atLeast"/>
        </w:trPr>
        <w:tc>
          <w:tcPr>
            <w:tcW w:w="3306" w:type="dxa"/>
            <w:tcBorders>
              <w:top w:val="nil"/>
              <w:left w:val="single" w:color="000000" w:sz="8" w:space="0"/>
              <w:bottom w:val="single" w:color="000000" w:sz="4" w:space="0"/>
              <w:right w:val="single" w:color="000000" w:sz="4" w:space="0"/>
            </w:tcBorders>
            <w:shd w:val="clear" w:color="auto" w:fill="auto"/>
          </w:tcPr>
          <w:p>
            <w:pPr>
              <w:rPr>
                <w:highlight w:val="none"/>
              </w:rPr>
            </w:pPr>
            <w:r>
              <w:rPr>
                <w:rFonts w:hint="eastAsia"/>
                <w:highlight w:val="none"/>
              </w:rPr>
              <w:t>一、一般公共预算财政拨款收入</w:t>
            </w:r>
          </w:p>
        </w:tc>
        <w:tc>
          <w:tcPr>
            <w:tcW w:w="1117"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993.37</w:t>
            </w:r>
            <w:r>
              <w:rPr>
                <w:rFonts w:hint="eastAsia" w:ascii="宋体" w:hAnsi="宋体" w:eastAsia="宋体" w:cs="Arial"/>
                <w:color w:val="000000"/>
                <w:kern w:val="0"/>
                <w:sz w:val="22"/>
                <w:highlight w:val="none"/>
              </w:rPr>
              <w:t>　</w:t>
            </w:r>
          </w:p>
        </w:tc>
        <w:tc>
          <w:tcPr>
            <w:tcW w:w="3703" w:type="dxa"/>
            <w:tcBorders>
              <w:top w:val="nil"/>
              <w:left w:val="nil"/>
              <w:bottom w:val="single" w:color="000000" w:sz="4" w:space="0"/>
              <w:right w:val="single" w:color="000000"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一、一般公共服务支出</w:t>
            </w:r>
          </w:p>
        </w:tc>
        <w:tc>
          <w:tcPr>
            <w:tcW w:w="1074"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nil"/>
              <w:left w:val="single" w:color="000000" w:sz="8" w:space="0"/>
              <w:bottom w:val="single" w:color="000000" w:sz="4" w:space="0"/>
              <w:right w:val="single" w:color="000000" w:sz="4" w:space="0"/>
            </w:tcBorders>
            <w:shd w:val="clear" w:color="auto" w:fill="auto"/>
          </w:tcPr>
          <w:p>
            <w:pPr>
              <w:rPr>
                <w:highlight w:val="none"/>
              </w:rPr>
            </w:pPr>
            <w:r>
              <w:rPr>
                <w:rFonts w:hint="eastAsia"/>
                <w:highlight w:val="none"/>
              </w:rPr>
              <w:t>二、政府性基金预算财政拨款收入</w:t>
            </w:r>
          </w:p>
        </w:tc>
        <w:tc>
          <w:tcPr>
            <w:tcW w:w="1117"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nil"/>
              <w:left w:val="nil"/>
              <w:bottom w:val="single" w:color="000000" w:sz="4" w:space="0"/>
              <w:right w:val="single" w:color="000000"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二、外交支出</w:t>
            </w:r>
          </w:p>
        </w:tc>
        <w:tc>
          <w:tcPr>
            <w:tcW w:w="1074"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nil"/>
              <w:left w:val="single" w:color="000000" w:sz="8" w:space="0"/>
              <w:bottom w:val="single" w:color="000000" w:sz="4" w:space="0"/>
              <w:right w:val="single" w:color="000000" w:sz="4" w:space="0"/>
            </w:tcBorders>
            <w:shd w:val="clear" w:color="auto" w:fill="auto"/>
          </w:tcPr>
          <w:p>
            <w:pPr>
              <w:rPr>
                <w:highlight w:val="none"/>
              </w:rPr>
            </w:pPr>
            <w:r>
              <w:rPr>
                <w:rFonts w:hint="eastAsia"/>
                <w:highlight w:val="none"/>
              </w:rPr>
              <w:t>三、国有资本经营预算财政拨款收入</w:t>
            </w:r>
          </w:p>
        </w:tc>
        <w:tc>
          <w:tcPr>
            <w:tcW w:w="1117"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nil"/>
              <w:left w:val="nil"/>
              <w:bottom w:val="single" w:color="000000" w:sz="4" w:space="0"/>
              <w:right w:val="single" w:color="000000"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三、国防支出</w:t>
            </w:r>
          </w:p>
        </w:tc>
        <w:tc>
          <w:tcPr>
            <w:tcW w:w="1074"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nil"/>
              <w:left w:val="single" w:color="000000" w:sz="8" w:space="0"/>
              <w:bottom w:val="single" w:color="000000" w:sz="4" w:space="0"/>
              <w:right w:val="single" w:color="000000" w:sz="4" w:space="0"/>
            </w:tcBorders>
            <w:shd w:val="clear" w:color="auto" w:fill="auto"/>
          </w:tcPr>
          <w:p>
            <w:pPr>
              <w:rPr>
                <w:highlight w:val="none"/>
              </w:rPr>
            </w:pPr>
            <w:r>
              <w:rPr>
                <w:rFonts w:hint="eastAsia"/>
                <w:highlight w:val="none"/>
              </w:rPr>
              <w:t>四、上级补助收入</w:t>
            </w:r>
          </w:p>
        </w:tc>
        <w:tc>
          <w:tcPr>
            <w:tcW w:w="1117"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nil"/>
              <w:left w:val="nil"/>
              <w:bottom w:val="single" w:color="000000" w:sz="4" w:space="0"/>
              <w:right w:val="single" w:color="000000"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四、公共安全支出</w:t>
            </w:r>
          </w:p>
        </w:tc>
        <w:tc>
          <w:tcPr>
            <w:tcW w:w="1074"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nil"/>
              <w:left w:val="single" w:color="000000" w:sz="8" w:space="0"/>
              <w:bottom w:val="single" w:color="000000" w:sz="4" w:space="0"/>
              <w:right w:val="single" w:color="000000" w:sz="4" w:space="0"/>
            </w:tcBorders>
            <w:shd w:val="clear" w:color="auto" w:fill="auto"/>
          </w:tcPr>
          <w:p>
            <w:pPr>
              <w:rPr>
                <w:highlight w:val="none"/>
              </w:rPr>
            </w:pPr>
            <w:r>
              <w:rPr>
                <w:rFonts w:hint="eastAsia"/>
                <w:highlight w:val="none"/>
              </w:rPr>
              <w:t>五、事业收入</w:t>
            </w:r>
          </w:p>
        </w:tc>
        <w:tc>
          <w:tcPr>
            <w:tcW w:w="1117"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nil"/>
              <w:left w:val="nil"/>
              <w:bottom w:val="single" w:color="000000" w:sz="4" w:space="0"/>
              <w:right w:val="single" w:color="000000"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五、教育支出</w:t>
            </w:r>
          </w:p>
        </w:tc>
        <w:tc>
          <w:tcPr>
            <w:tcW w:w="1074"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1150.33</w:t>
            </w: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nil"/>
              <w:left w:val="single" w:color="000000" w:sz="8" w:space="0"/>
              <w:bottom w:val="single" w:color="000000" w:sz="4" w:space="0"/>
              <w:right w:val="single" w:color="000000" w:sz="4" w:space="0"/>
            </w:tcBorders>
            <w:shd w:val="clear" w:color="auto" w:fill="auto"/>
          </w:tcPr>
          <w:p>
            <w:pPr>
              <w:rPr>
                <w:highlight w:val="none"/>
              </w:rPr>
            </w:pPr>
            <w:r>
              <w:rPr>
                <w:rFonts w:hint="eastAsia"/>
                <w:highlight w:val="none"/>
              </w:rPr>
              <w:t>六、经营收入</w:t>
            </w:r>
          </w:p>
        </w:tc>
        <w:tc>
          <w:tcPr>
            <w:tcW w:w="1117"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nil"/>
              <w:left w:val="nil"/>
              <w:bottom w:val="single" w:color="000000" w:sz="4" w:space="0"/>
              <w:right w:val="single" w:color="000000"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六、科学技术支出</w:t>
            </w:r>
          </w:p>
        </w:tc>
        <w:tc>
          <w:tcPr>
            <w:tcW w:w="1074"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nil"/>
              <w:left w:val="single" w:color="000000" w:sz="8" w:space="0"/>
              <w:bottom w:val="single" w:color="000000" w:sz="4" w:space="0"/>
              <w:right w:val="single" w:color="000000" w:sz="4" w:space="0"/>
            </w:tcBorders>
            <w:shd w:val="clear" w:color="auto" w:fill="auto"/>
          </w:tcPr>
          <w:p>
            <w:pPr>
              <w:rPr>
                <w:highlight w:val="none"/>
              </w:rPr>
            </w:pPr>
            <w:r>
              <w:rPr>
                <w:rFonts w:hint="eastAsia"/>
                <w:highlight w:val="none"/>
              </w:rPr>
              <w:t>七、附属单位上缴收入</w:t>
            </w:r>
          </w:p>
        </w:tc>
        <w:tc>
          <w:tcPr>
            <w:tcW w:w="1117"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nil"/>
              <w:left w:val="nil"/>
              <w:bottom w:val="single" w:color="000000" w:sz="4" w:space="0"/>
              <w:right w:val="single" w:color="000000"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七、文化旅游体育与传媒支出</w:t>
            </w:r>
          </w:p>
        </w:tc>
        <w:tc>
          <w:tcPr>
            <w:tcW w:w="1074"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宋体"/>
                <w:sz w:val="22"/>
                <w:highlight w:val="none"/>
              </w:rPr>
            </w:pPr>
            <w:r>
              <w:rPr>
                <w:rFonts w:hint="eastAsia"/>
                <w:highlight w:val="none"/>
              </w:rPr>
              <w:t>八、其他收入</w:t>
            </w:r>
          </w:p>
        </w:tc>
        <w:tc>
          <w:tcPr>
            <w:tcW w:w="1117"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nil"/>
              <w:left w:val="nil"/>
              <w:bottom w:val="single" w:color="000000" w:sz="4" w:space="0"/>
              <w:right w:val="single" w:color="000000"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八、社会保障和就业支出</w:t>
            </w:r>
          </w:p>
        </w:tc>
        <w:tc>
          <w:tcPr>
            <w:tcW w:w="1074"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4.89</w:t>
            </w: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117"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nil"/>
              <w:left w:val="nil"/>
              <w:bottom w:val="single" w:color="000000" w:sz="4" w:space="0"/>
              <w:right w:val="single" w:color="000000"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九、卫生健康支出</w:t>
            </w:r>
          </w:p>
        </w:tc>
        <w:tc>
          <w:tcPr>
            <w:tcW w:w="1074"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117"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nil"/>
              <w:left w:val="nil"/>
              <w:bottom w:val="single" w:color="000000" w:sz="4" w:space="0"/>
              <w:right w:val="single" w:color="000000"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十、节能环保支出</w:t>
            </w:r>
          </w:p>
        </w:tc>
        <w:tc>
          <w:tcPr>
            <w:tcW w:w="1074"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117"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nil"/>
              <w:left w:val="nil"/>
              <w:bottom w:val="single" w:color="000000" w:sz="4" w:space="0"/>
              <w:right w:val="single" w:color="000000"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十一、城乡社区支出</w:t>
            </w:r>
          </w:p>
        </w:tc>
        <w:tc>
          <w:tcPr>
            <w:tcW w:w="1074"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nil"/>
              <w:left w:val="single" w:color="000000" w:sz="8" w:space="0"/>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117" w:type="dxa"/>
            <w:tcBorders>
              <w:top w:val="nil"/>
              <w:left w:val="nil"/>
              <w:bottom w:val="single" w:color="auto"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nil"/>
              <w:left w:val="nil"/>
              <w:bottom w:val="single" w:color="auto" w:sz="4" w:space="0"/>
              <w:right w:val="single" w:color="000000"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十二、农林水支出</w:t>
            </w:r>
          </w:p>
        </w:tc>
        <w:tc>
          <w:tcPr>
            <w:tcW w:w="1074" w:type="dxa"/>
            <w:tcBorders>
              <w:top w:val="nil"/>
              <w:left w:val="nil"/>
              <w:bottom w:val="single" w:color="auto"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十三、交通运输支出</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十四、资源勘探信息等支出</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十五、商业服务业等支出</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十六、金融支出</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single" w:color="auto" w:sz="4" w:space="0"/>
              <w:left w:val="single" w:color="000000" w:sz="8" w:space="0"/>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117" w:type="dxa"/>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single" w:color="auto" w:sz="4" w:space="0"/>
              <w:left w:val="nil"/>
              <w:bottom w:val="single" w:color="auto" w:sz="4" w:space="0"/>
              <w:right w:val="single" w:color="000000"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十七、援助其他地区支出</w:t>
            </w:r>
          </w:p>
        </w:tc>
        <w:tc>
          <w:tcPr>
            <w:tcW w:w="1074" w:type="dxa"/>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十八、自然资源海洋气象等支出</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rPr>
          <w:trHeight w:val="308" w:hRule="atLeast"/>
        </w:trPr>
        <w:tc>
          <w:tcPr>
            <w:tcW w:w="3306" w:type="dxa"/>
            <w:tcBorders>
              <w:top w:val="single" w:color="auto" w:sz="4" w:space="0"/>
              <w:left w:val="single" w:color="000000" w:sz="8" w:space="0"/>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117" w:type="dxa"/>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single" w:color="auto" w:sz="4" w:space="0"/>
              <w:left w:val="nil"/>
              <w:bottom w:val="single" w:color="auto" w:sz="4" w:space="0"/>
              <w:right w:val="single" w:color="000000"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十九、住房保障支出</w:t>
            </w:r>
          </w:p>
        </w:tc>
        <w:tc>
          <w:tcPr>
            <w:tcW w:w="1074" w:type="dxa"/>
            <w:tcBorders>
              <w:top w:val="single" w:color="auto" w:sz="4" w:space="0"/>
              <w:left w:val="nil"/>
              <w:bottom w:val="single" w:color="auto"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二十、粮油物资储备支出</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p>
        </w:tc>
        <w:tc>
          <w:tcPr>
            <w:tcW w:w="370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cs="Arial"/>
                <w:color w:val="000000"/>
                <w:sz w:val="22"/>
                <w:highlight w:val="none"/>
              </w:rPr>
            </w:pPr>
            <w:r>
              <w:rPr>
                <w:rFonts w:hint="eastAsia" w:cs="Arial"/>
                <w:color w:val="000000"/>
                <w:sz w:val="22"/>
                <w:highlight w:val="none"/>
              </w:rPr>
              <w:t>二十一、国有资本经营预算支出</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p>
        </w:tc>
      </w:tr>
      <w:tr>
        <w:tblPrEx>
          <w:tblCellMar>
            <w:top w:w="0" w:type="dxa"/>
            <w:left w:w="108" w:type="dxa"/>
            <w:bottom w:w="0" w:type="dxa"/>
            <w:right w:w="108" w:type="dxa"/>
          </w:tblCellMar>
        </w:tblPrEx>
        <w:trPr>
          <w:trHeight w:val="308" w:hRule="atLeast"/>
        </w:trPr>
        <w:tc>
          <w:tcPr>
            <w:tcW w:w="33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1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二十二、灾害防治及应急管理支出</w:t>
            </w:r>
          </w:p>
        </w:tc>
        <w:tc>
          <w:tcPr>
            <w:tcW w:w="10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11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single" w:color="auto" w:sz="4" w:space="0"/>
              <w:left w:val="nil"/>
              <w:bottom w:val="single" w:color="000000" w:sz="4" w:space="0"/>
              <w:right w:val="single" w:color="000000"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二十三、其他支出</w:t>
            </w:r>
          </w:p>
        </w:tc>
        <w:tc>
          <w:tcPr>
            <w:tcW w:w="1074"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117"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nil"/>
              <w:left w:val="nil"/>
              <w:bottom w:val="single" w:color="000000" w:sz="4" w:space="0"/>
              <w:right w:val="single" w:color="000000"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二十四、债务还本支出</w:t>
            </w:r>
          </w:p>
        </w:tc>
        <w:tc>
          <w:tcPr>
            <w:tcW w:w="1074"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b/>
                <w:bCs/>
                <w:color w:val="000000"/>
                <w:kern w:val="0"/>
                <w:sz w:val="22"/>
                <w:highlight w:val="none"/>
              </w:rPr>
            </w:pPr>
          </w:p>
        </w:tc>
        <w:tc>
          <w:tcPr>
            <w:tcW w:w="1117"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p>
        </w:tc>
        <w:tc>
          <w:tcPr>
            <w:tcW w:w="3703" w:type="dxa"/>
            <w:tcBorders>
              <w:top w:val="nil"/>
              <w:left w:val="nil"/>
              <w:bottom w:val="single" w:color="000000" w:sz="4" w:space="0"/>
              <w:right w:val="single" w:color="000000"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二十五、债务付息支出</w:t>
            </w:r>
          </w:p>
        </w:tc>
        <w:tc>
          <w:tcPr>
            <w:tcW w:w="1074"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p>
        </w:tc>
      </w:tr>
      <w:tr>
        <w:tblPrEx>
          <w:tblCellMar>
            <w:top w:w="0" w:type="dxa"/>
            <w:left w:w="108" w:type="dxa"/>
            <w:bottom w:w="0" w:type="dxa"/>
            <w:right w:w="108" w:type="dxa"/>
          </w:tblCellMar>
        </w:tblPrEx>
        <w:trPr>
          <w:trHeight w:val="308" w:hRule="atLeast"/>
        </w:trPr>
        <w:tc>
          <w:tcPr>
            <w:tcW w:w="330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b/>
                <w:bCs/>
                <w:color w:val="000000"/>
                <w:kern w:val="0"/>
                <w:sz w:val="22"/>
                <w:highlight w:val="none"/>
              </w:rPr>
            </w:pPr>
          </w:p>
        </w:tc>
        <w:tc>
          <w:tcPr>
            <w:tcW w:w="1117"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p>
        </w:tc>
        <w:tc>
          <w:tcPr>
            <w:tcW w:w="3703"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b/>
                <w:bCs/>
                <w:color w:val="000000"/>
                <w:kern w:val="0"/>
                <w:sz w:val="22"/>
                <w:highlight w:val="none"/>
              </w:rPr>
            </w:pPr>
            <w:r>
              <w:rPr>
                <w:rFonts w:hint="eastAsia" w:cs="Arial"/>
                <w:color w:val="000000"/>
                <w:sz w:val="22"/>
                <w:highlight w:val="none"/>
              </w:rPr>
              <w:t>二十六、抗议特别国债安排的支出</w:t>
            </w:r>
          </w:p>
        </w:tc>
        <w:tc>
          <w:tcPr>
            <w:tcW w:w="1074"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p>
        </w:tc>
      </w:tr>
      <w:tr>
        <w:tblPrEx>
          <w:tblCellMar>
            <w:top w:w="0" w:type="dxa"/>
            <w:left w:w="108" w:type="dxa"/>
            <w:bottom w:w="0" w:type="dxa"/>
            <w:right w:w="108" w:type="dxa"/>
          </w:tblCellMar>
        </w:tblPrEx>
        <w:trPr>
          <w:trHeight w:val="308" w:hRule="atLeast"/>
        </w:trPr>
        <w:tc>
          <w:tcPr>
            <w:tcW w:w="330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b/>
                <w:bCs/>
                <w:color w:val="000000"/>
                <w:kern w:val="0"/>
                <w:sz w:val="22"/>
                <w:highlight w:val="none"/>
              </w:rPr>
            </w:pPr>
            <w:r>
              <w:rPr>
                <w:rFonts w:hint="eastAsia" w:ascii="宋体" w:hAnsi="宋体" w:eastAsia="宋体" w:cs="Arial"/>
                <w:b/>
                <w:bCs/>
                <w:color w:val="000000"/>
                <w:kern w:val="0"/>
                <w:sz w:val="22"/>
                <w:highlight w:val="none"/>
              </w:rPr>
              <w:t>本年收入合计</w:t>
            </w:r>
          </w:p>
        </w:tc>
        <w:tc>
          <w:tcPr>
            <w:tcW w:w="1117"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993.37</w:t>
            </w:r>
            <w:r>
              <w:rPr>
                <w:rFonts w:hint="eastAsia" w:ascii="宋体" w:hAnsi="宋体" w:eastAsia="宋体" w:cs="Arial"/>
                <w:color w:val="000000"/>
                <w:kern w:val="0"/>
                <w:sz w:val="22"/>
                <w:highlight w:val="none"/>
              </w:rPr>
              <w:t>　</w:t>
            </w:r>
          </w:p>
        </w:tc>
        <w:tc>
          <w:tcPr>
            <w:tcW w:w="3703"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b/>
                <w:bCs/>
                <w:color w:val="000000"/>
                <w:kern w:val="0"/>
                <w:sz w:val="22"/>
                <w:highlight w:val="none"/>
              </w:rPr>
            </w:pPr>
            <w:r>
              <w:rPr>
                <w:rFonts w:hint="eastAsia" w:ascii="宋体" w:hAnsi="宋体" w:eastAsia="宋体" w:cs="Arial"/>
                <w:b/>
                <w:bCs/>
                <w:color w:val="000000"/>
                <w:kern w:val="0"/>
                <w:sz w:val="22"/>
                <w:highlight w:val="none"/>
              </w:rPr>
              <w:t>本年支出合计</w:t>
            </w:r>
          </w:p>
        </w:tc>
        <w:tc>
          <w:tcPr>
            <w:tcW w:w="1074"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1155.22</w:t>
            </w: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xml:space="preserve">    使用非财政拨款结余</w:t>
            </w:r>
          </w:p>
        </w:tc>
        <w:tc>
          <w:tcPr>
            <w:tcW w:w="1117"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3703"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xml:space="preserve">    结余分配</w:t>
            </w:r>
          </w:p>
        </w:tc>
        <w:tc>
          <w:tcPr>
            <w:tcW w:w="1074"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xml:space="preserve">    年初结转和结余</w:t>
            </w:r>
          </w:p>
        </w:tc>
        <w:tc>
          <w:tcPr>
            <w:tcW w:w="1117"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173.89</w:t>
            </w:r>
            <w:r>
              <w:rPr>
                <w:rFonts w:hint="eastAsia" w:ascii="宋体" w:hAnsi="宋体" w:eastAsia="宋体" w:cs="Arial"/>
                <w:color w:val="000000"/>
                <w:kern w:val="0"/>
                <w:sz w:val="22"/>
                <w:highlight w:val="none"/>
              </w:rPr>
              <w:t>　</w:t>
            </w:r>
          </w:p>
        </w:tc>
        <w:tc>
          <w:tcPr>
            <w:tcW w:w="3703" w:type="dxa"/>
            <w:tcBorders>
              <w:top w:val="nil"/>
              <w:left w:val="nil"/>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xml:space="preserve">    年末结转和结余</w:t>
            </w:r>
          </w:p>
        </w:tc>
        <w:tc>
          <w:tcPr>
            <w:tcW w:w="1074"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12.04</w:t>
            </w: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308" w:hRule="atLeast"/>
        </w:trPr>
        <w:tc>
          <w:tcPr>
            <w:tcW w:w="330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b/>
                <w:bCs/>
                <w:color w:val="000000"/>
                <w:kern w:val="0"/>
                <w:sz w:val="22"/>
                <w:highlight w:val="none"/>
              </w:rPr>
            </w:pPr>
            <w:r>
              <w:rPr>
                <w:rFonts w:hint="eastAsia" w:ascii="宋体" w:hAnsi="宋体" w:eastAsia="宋体" w:cs="Arial"/>
                <w:b/>
                <w:bCs/>
                <w:color w:val="000000"/>
                <w:kern w:val="0"/>
                <w:sz w:val="22"/>
                <w:highlight w:val="none"/>
              </w:rPr>
              <w:t>总计</w:t>
            </w:r>
          </w:p>
        </w:tc>
        <w:tc>
          <w:tcPr>
            <w:tcW w:w="1117"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1167.26</w:t>
            </w:r>
            <w:r>
              <w:rPr>
                <w:rFonts w:hint="eastAsia" w:ascii="宋体" w:hAnsi="宋体" w:eastAsia="宋体" w:cs="Arial"/>
                <w:color w:val="000000"/>
                <w:kern w:val="0"/>
                <w:sz w:val="22"/>
                <w:highlight w:val="none"/>
              </w:rPr>
              <w:t>　</w:t>
            </w:r>
          </w:p>
        </w:tc>
        <w:tc>
          <w:tcPr>
            <w:tcW w:w="3703"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b/>
                <w:bCs/>
                <w:color w:val="000000"/>
                <w:kern w:val="0"/>
                <w:sz w:val="22"/>
                <w:highlight w:val="none"/>
              </w:rPr>
            </w:pPr>
            <w:r>
              <w:rPr>
                <w:rFonts w:hint="eastAsia" w:ascii="宋体" w:hAnsi="宋体" w:eastAsia="宋体" w:cs="Arial"/>
                <w:b/>
                <w:bCs/>
                <w:color w:val="000000"/>
                <w:kern w:val="0"/>
                <w:sz w:val="22"/>
                <w:highlight w:val="none"/>
              </w:rPr>
              <w:t>总计</w:t>
            </w:r>
          </w:p>
        </w:tc>
        <w:tc>
          <w:tcPr>
            <w:tcW w:w="1074"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1167.26</w:t>
            </w:r>
            <w:r>
              <w:rPr>
                <w:rFonts w:hint="eastAsia" w:ascii="宋体" w:hAnsi="宋体" w:eastAsia="宋体" w:cs="Arial"/>
                <w:color w:val="000000"/>
                <w:kern w:val="0"/>
                <w:sz w:val="22"/>
                <w:highlight w:val="none"/>
              </w:rPr>
              <w:t>　</w:t>
            </w:r>
          </w:p>
        </w:tc>
      </w:tr>
    </w:tbl>
    <w:p>
      <w:pPr>
        <w:pStyle w:val="7"/>
        <w:rPr>
          <w:rFonts w:ascii="Times New Roman" w:hAnsi="Times New Roman" w:cs="Times New Roman" w:eastAsiaTheme="minorEastAsia"/>
          <w:highlight w:val="none"/>
        </w:rPr>
      </w:pPr>
      <w:r>
        <w:rPr>
          <w:rFonts w:hint="eastAsia" w:ascii="Times New Roman" w:hAnsi="Times New Roman" w:cs="Times New Roman" w:eastAsiaTheme="minorEastAsia"/>
          <w:highlight w:val="none"/>
        </w:rPr>
        <w:t>注：1. 本表反映单位本年度的总收支和年末结转结余情况。</w:t>
      </w:r>
    </w:p>
    <w:p>
      <w:pPr>
        <w:pStyle w:val="7"/>
        <w:ind w:firstLine="480" w:firstLineChars="200"/>
        <w:rPr>
          <w:rFonts w:ascii="Times New Roman" w:hAnsi="Times New Roman" w:cs="Times New Roman" w:eastAsiaTheme="minorEastAsia"/>
          <w:highlight w:val="none"/>
        </w:rPr>
      </w:pPr>
      <w:r>
        <w:rPr>
          <w:rFonts w:hint="eastAsia" w:ascii="Times New Roman" w:hAnsi="Times New Roman" w:cs="Times New Roman" w:eastAsiaTheme="minorEastAsia"/>
          <w:highlight w:val="none"/>
        </w:rPr>
        <w:t>2.本套报表金额单位转换时可能存在尾数误差。</w:t>
      </w:r>
    </w:p>
    <w:p>
      <w:pPr>
        <w:pStyle w:val="8"/>
        <w:numPr>
          <w:ilvl w:val="0"/>
          <w:numId w:val="1"/>
        </w:numPr>
        <w:ind w:firstLineChars="0"/>
        <w:jc w:val="left"/>
        <w:rPr>
          <w:rFonts w:ascii="黑体" w:hAnsi="仿宋" w:eastAsia="黑体"/>
          <w:sz w:val="32"/>
          <w:szCs w:val="32"/>
          <w:highlight w:val="none"/>
        </w:rPr>
      </w:pPr>
      <w:r>
        <w:rPr>
          <w:rFonts w:hint="eastAsia" w:ascii="黑体" w:hAnsi="仿宋" w:eastAsia="黑体"/>
          <w:sz w:val="32"/>
          <w:szCs w:val="32"/>
          <w:highlight w:val="none"/>
        </w:rPr>
        <w:t xml:space="preserve">收入决算表 </w:t>
      </w:r>
    </w:p>
    <w:tbl>
      <w:tblPr>
        <w:tblStyle w:val="5"/>
        <w:tblW w:w="8804" w:type="dxa"/>
        <w:tblInd w:w="93" w:type="dxa"/>
        <w:tblLayout w:type="fixed"/>
        <w:tblCellMar>
          <w:top w:w="0" w:type="dxa"/>
          <w:left w:w="108" w:type="dxa"/>
          <w:bottom w:w="0" w:type="dxa"/>
          <w:right w:w="108" w:type="dxa"/>
        </w:tblCellMar>
      </w:tblPr>
      <w:tblGrid>
        <w:gridCol w:w="436"/>
        <w:gridCol w:w="436"/>
        <w:gridCol w:w="436"/>
        <w:gridCol w:w="1008"/>
        <w:gridCol w:w="1101"/>
        <w:gridCol w:w="954"/>
        <w:gridCol w:w="423"/>
        <w:gridCol w:w="883"/>
        <w:gridCol w:w="870"/>
        <w:gridCol w:w="981"/>
        <w:gridCol w:w="1276"/>
      </w:tblGrid>
      <w:tr>
        <w:tblPrEx>
          <w:tblCellMar>
            <w:top w:w="0" w:type="dxa"/>
            <w:left w:w="108" w:type="dxa"/>
            <w:bottom w:w="0" w:type="dxa"/>
            <w:right w:w="108" w:type="dxa"/>
          </w:tblCellMar>
        </w:tblPrEx>
        <w:trPr>
          <w:trHeight w:val="600" w:hRule="atLeast"/>
        </w:trPr>
        <w:tc>
          <w:tcPr>
            <w:tcW w:w="8804" w:type="dxa"/>
            <w:gridSpan w:val="11"/>
            <w:tcBorders>
              <w:top w:val="nil"/>
              <w:left w:val="nil"/>
              <w:bottom w:val="nil"/>
              <w:right w:val="nil"/>
            </w:tcBorders>
            <w:shd w:val="clear" w:color="auto" w:fill="auto"/>
            <w:vAlign w:val="bottom"/>
          </w:tcPr>
          <w:p>
            <w:pPr>
              <w:widowControl/>
              <w:spacing w:line="240" w:lineRule="auto"/>
              <w:jc w:val="center"/>
              <w:rPr>
                <w:rFonts w:ascii="宋体" w:hAnsi="宋体" w:eastAsia="宋体" w:cs="Arial"/>
                <w:color w:val="000000"/>
                <w:kern w:val="0"/>
                <w:sz w:val="44"/>
                <w:szCs w:val="44"/>
                <w:highlight w:val="none"/>
              </w:rPr>
            </w:pPr>
            <w:r>
              <w:rPr>
                <w:rFonts w:hint="eastAsia" w:ascii="黑体" w:hAnsi="Arial" w:eastAsia="黑体" w:cs="Arial"/>
                <w:color w:val="000000"/>
                <w:kern w:val="0"/>
                <w:sz w:val="36"/>
                <w:szCs w:val="36"/>
                <w:highlight w:val="none"/>
              </w:rPr>
              <w:t>收入决算表</w:t>
            </w:r>
          </w:p>
        </w:tc>
      </w:tr>
      <w:tr>
        <w:tblPrEx>
          <w:tblCellMar>
            <w:top w:w="0" w:type="dxa"/>
            <w:left w:w="108" w:type="dxa"/>
            <w:bottom w:w="0" w:type="dxa"/>
            <w:right w:w="108" w:type="dxa"/>
          </w:tblCellMar>
        </w:tblPrEx>
        <w:trPr>
          <w:trHeight w:val="300" w:hRule="atLeast"/>
        </w:trPr>
        <w:tc>
          <w:tcPr>
            <w:tcW w:w="436"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436"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436"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1008"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1101"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954"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423"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883"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870"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981"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1276" w:type="dxa"/>
            <w:tcBorders>
              <w:top w:val="nil"/>
              <w:left w:val="nil"/>
              <w:bottom w:val="nil"/>
              <w:right w:val="nil"/>
            </w:tcBorders>
            <w:shd w:val="clear" w:color="auto" w:fill="auto"/>
            <w:vAlign w:val="bottom"/>
          </w:tcPr>
          <w:p>
            <w:pPr>
              <w:widowControl/>
              <w:spacing w:line="240" w:lineRule="auto"/>
              <w:jc w:val="righ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公开02表</w:t>
            </w:r>
          </w:p>
        </w:tc>
      </w:tr>
      <w:tr>
        <w:tblPrEx>
          <w:tblCellMar>
            <w:top w:w="0" w:type="dxa"/>
            <w:left w:w="108" w:type="dxa"/>
            <w:bottom w:w="0" w:type="dxa"/>
            <w:right w:w="108" w:type="dxa"/>
          </w:tblCellMar>
        </w:tblPrEx>
        <w:trPr>
          <w:trHeight w:val="315" w:hRule="atLeast"/>
        </w:trPr>
        <w:tc>
          <w:tcPr>
            <w:tcW w:w="2316" w:type="dxa"/>
            <w:gridSpan w:val="4"/>
            <w:tcBorders>
              <w:top w:val="nil"/>
              <w:left w:val="nil"/>
              <w:bottom w:val="nil"/>
              <w:right w:val="nil"/>
            </w:tcBorders>
            <w:shd w:val="clear" w:color="auto" w:fill="auto"/>
            <w:vAlign w:val="bottom"/>
          </w:tcPr>
          <w:p>
            <w:pPr>
              <w:widowControl/>
              <w:spacing w:line="240" w:lineRule="auto"/>
              <w:jc w:val="left"/>
              <w:rPr>
                <w:rFonts w:ascii="宋体" w:hAnsi="宋体" w:eastAsia="宋体" w:cs="Arial"/>
                <w:color w:val="000000"/>
                <w:kern w:val="0"/>
                <w:sz w:val="24"/>
                <w:szCs w:val="24"/>
                <w:highlight w:val="none"/>
              </w:rPr>
            </w:pPr>
            <w:r>
              <w:rPr>
                <w:rFonts w:hint="eastAsia" w:ascii="宋体" w:hAnsi="宋体" w:eastAsia="宋体" w:cs="Arial"/>
                <w:color w:val="000000"/>
                <w:kern w:val="0"/>
                <w:sz w:val="24"/>
                <w:szCs w:val="24"/>
                <w:highlight w:val="none"/>
              </w:rPr>
              <w:t>单位：</w:t>
            </w:r>
          </w:p>
        </w:tc>
        <w:tc>
          <w:tcPr>
            <w:tcW w:w="1101"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954"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423" w:type="dxa"/>
            <w:tcBorders>
              <w:top w:val="nil"/>
              <w:left w:val="nil"/>
              <w:bottom w:val="nil"/>
              <w:right w:val="nil"/>
            </w:tcBorders>
            <w:shd w:val="clear" w:color="auto" w:fill="auto"/>
            <w:vAlign w:val="bottom"/>
          </w:tcPr>
          <w:p>
            <w:pPr>
              <w:widowControl/>
              <w:spacing w:line="240" w:lineRule="auto"/>
              <w:jc w:val="center"/>
              <w:rPr>
                <w:rFonts w:ascii="宋体" w:hAnsi="宋体" w:eastAsia="宋体" w:cs="Arial"/>
                <w:color w:val="000000"/>
                <w:kern w:val="0"/>
                <w:sz w:val="24"/>
                <w:szCs w:val="24"/>
                <w:highlight w:val="none"/>
              </w:rPr>
            </w:pPr>
          </w:p>
        </w:tc>
        <w:tc>
          <w:tcPr>
            <w:tcW w:w="883"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870"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2257" w:type="dxa"/>
            <w:gridSpan w:val="2"/>
            <w:tcBorders>
              <w:top w:val="nil"/>
              <w:left w:val="nil"/>
              <w:bottom w:val="nil"/>
              <w:right w:val="nil"/>
            </w:tcBorders>
            <w:shd w:val="clear" w:color="auto" w:fill="auto"/>
            <w:vAlign w:val="bottom"/>
          </w:tcPr>
          <w:p>
            <w:pPr>
              <w:widowControl/>
              <w:spacing w:line="240" w:lineRule="auto"/>
              <w:jc w:val="righ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单位：万元</w:t>
            </w:r>
          </w:p>
        </w:tc>
      </w:tr>
      <w:tr>
        <w:tblPrEx>
          <w:tblCellMar>
            <w:top w:w="0" w:type="dxa"/>
            <w:left w:w="108" w:type="dxa"/>
            <w:bottom w:w="0" w:type="dxa"/>
            <w:right w:w="108" w:type="dxa"/>
          </w:tblCellMar>
        </w:tblPrEx>
        <w:trPr>
          <w:trHeight w:val="308" w:hRule="atLeast"/>
        </w:trPr>
        <w:tc>
          <w:tcPr>
            <w:tcW w:w="23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项目</w:t>
            </w:r>
          </w:p>
        </w:tc>
        <w:tc>
          <w:tcPr>
            <w:tcW w:w="1101"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本年收入合计</w:t>
            </w:r>
          </w:p>
        </w:tc>
        <w:tc>
          <w:tcPr>
            <w:tcW w:w="954"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财政拨款收入</w:t>
            </w:r>
          </w:p>
        </w:tc>
        <w:tc>
          <w:tcPr>
            <w:tcW w:w="42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上级补助收入</w:t>
            </w:r>
          </w:p>
        </w:tc>
        <w:tc>
          <w:tcPr>
            <w:tcW w:w="88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事业收入</w:t>
            </w:r>
          </w:p>
        </w:tc>
        <w:tc>
          <w:tcPr>
            <w:tcW w:w="87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经营收入</w:t>
            </w:r>
          </w:p>
        </w:tc>
        <w:tc>
          <w:tcPr>
            <w:tcW w:w="981"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附属单位上缴收入</w:t>
            </w:r>
          </w:p>
        </w:tc>
        <w:tc>
          <w:tcPr>
            <w:tcW w:w="1276"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其他收入</w:t>
            </w:r>
          </w:p>
        </w:tc>
      </w:tr>
      <w:tr>
        <w:tblPrEx>
          <w:tblCellMar>
            <w:top w:w="0" w:type="dxa"/>
            <w:left w:w="108" w:type="dxa"/>
            <w:bottom w:w="0" w:type="dxa"/>
            <w:right w:w="108" w:type="dxa"/>
          </w:tblCellMar>
        </w:tblPrEx>
        <w:trPr>
          <w:trHeight w:val="312" w:hRule="atLeast"/>
        </w:trPr>
        <w:tc>
          <w:tcPr>
            <w:tcW w:w="130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支出功能分类科目编码</w:t>
            </w:r>
          </w:p>
        </w:tc>
        <w:tc>
          <w:tcPr>
            <w:tcW w:w="1008" w:type="dxa"/>
            <w:vMerge w:val="restart"/>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科目名称</w:t>
            </w:r>
          </w:p>
        </w:tc>
        <w:tc>
          <w:tcPr>
            <w:tcW w:w="1101"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954"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423"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883"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870"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981"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1276" w:type="dxa"/>
            <w:vMerge w:val="continue"/>
            <w:tcBorders>
              <w:top w:val="single" w:color="000000" w:sz="8" w:space="0"/>
              <w:left w:val="nil"/>
              <w:bottom w:val="single" w:color="000000" w:sz="4" w:space="0"/>
              <w:right w:val="single" w:color="000000" w:sz="8" w:space="0"/>
            </w:tcBorders>
            <w:vAlign w:val="center"/>
          </w:tcPr>
          <w:p>
            <w:pPr>
              <w:widowControl/>
              <w:spacing w:line="240" w:lineRule="auto"/>
              <w:jc w:val="left"/>
              <w:rPr>
                <w:rFonts w:ascii="宋体" w:hAnsi="宋体" w:eastAsia="宋体" w:cs="Arial"/>
                <w:color w:val="000000"/>
                <w:kern w:val="0"/>
                <w:sz w:val="22"/>
                <w:highlight w:val="none"/>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1008"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1101"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954"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423"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883"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870"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981"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1276" w:type="dxa"/>
            <w:vMerge w:val="continue"/>
            <w:tcBorders>
              <w:top w:val="single" w:color="000000" w:sz="8" w:space="0"/>
              <w:left w:val="nil"/>
              <w:bottom w:val="single" w:color="000000" w:sz="4" w:space="0"/>
              <w:right w:val="single" w:color="000000" w:sz="8" w:space="0"/>
            </w:tcBorders>
            <w:vAlign w:val="center"/>
          </w:tcPr>
          <w:p>
            <w:pPr>
              <w:widowControl/>
              <w:spacing w:line="240" w:lineRule="auto"/>
              <w:jc w:val="left"/>
              <w:rPr>
                <w:rFonts w:ascii="宋体" w:hAnsi="宋体" w:eastAsia="宋体" w:cs="Arial"/>
                <w:color w:val="000000"/>
                <w:kern w:val="0"/>
                <w:sz w:val="22"/>
                <w:highlight w:val="none"/>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1008"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1101"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954"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423"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883"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870"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981"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1276" w:type="dxa"/>
            <w:vMerge w:val="continue"/>
            <w:tcBorders>
              <w:top w:val="single" w:color="000000" w:sz="8" w:space="0"/>
              <w:left w:val="nil"/>
              <w:bottom w:val="single" w:color="000000" w:sz="4" w:space="0"/>
              <w:right w:val="single" w:color="000000" w:sz="8" w:space="0"/>
            </w:tcBorders>
            <w:vAlign w:val="center"/>
          </w:tcPr>
          <w:p>
            <w:pPr>
              <w:widowControl/>
              <w:spacing w:line="240" w:lineRule="auto"/>
              <w:jc w:val="left"/>
              <w:rPr>
                <w:rFonts w:ascii="宋体" w:hAnsi="宋体" w:eastAsia="宋体" w:cs="Arial"/>
                <w:color w:val="000000"/>
                <w:kern w:val="0"/>
                <w:sz w:val="22"/>
                <w:highlight w:val="none"/>
              </w:rPr>
            </w:pPr>
          </w:p>
        </w:tc>
      </w:tr>
      <w:tr>
        <w:tblPrEx>
          <w:tblCellMar>
            <w:top w:w="0" w:type="dxa"/>
            <w:left w:w="108" w:type="dxa"/>
            <w:bottom w:w="0" w:type="dxa"/>
            <w:right w:w="108" w:type="dxa"/>
          </w:tblCellMar>
        </w:tblPrEx>
        <w:trPr>
          <w:trHeight w:val="308" w:hRule="atLeast"/>
        </w:trPr>
        <w:tc>
          <w:tcPr>
            <w:tcW w:w="43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类</w:t>
            </w:r>
          </w:p>
        </w:tc>
        <w:tc>
          <w:tcPr>
            <w:tcW w:w="436"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款</w:t>
            </w:r>
          </w:p>
        </w:tc>
        <w:tc>
          <w:tcPr>
            <w:tcW w:w="436"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项</w:t>
            </w:r>
          </w:p>
        </w:tc>
        <w:tc>
          <w:tcPr>
            <w:tcW w:w="1008" w:type="dxa"/>
            <w:tcBorders>
              <w:top w:val="nil"/>
              <w:left w:val="nil"/>
              <w:bottom w:val="single" w:color="auto"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合计</w:t>
            </w:r>
          </w:p>
        </w:tc>
        <w:tc>
          <w:tcPr>
            <w:tcW w:w="1101" w:type="dxa"/>
            <w:tcBorders>
              <w:top w:val="nil"/>
              <w:left w:val="nil"/>
              <w:bottom w:val="single" w:color="auto"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lang w:val="en-US" w:eastAsia="zh-CN"/>
              </w:rPr>
              <w:t>993.37</w:t>
            </w:r>
            <w:r>
              <w:rPr>
                <w:rFonts w:hint="eastAsia" w:ascii="宋体" w:hAnsi="宋体" w:eastAsia="宋体" w:cs="Arial"/>
                <w:color w:val="000000"/>
                <w:kern w:val="0"/>
                <w:sz w:val="20"/>
                <w:szCs w:val="20"/>
                <w:highlight w:val="none"/>
              </w:rPr>
              <w:t>　</w:t>
            </w:r>
          </w:p>
        </w:tc>
        <w:tc>
          <w:tcPr>
            <w:tcW w:w="954" w:type="dxa"/>
            <w:tcBorders>
              <w:top w:val="nil"/>
              <w:left w:val="nil"/>
              <w:bottom w:val="single" w:color="auto"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993.37</w:t>
            </w:r>
            <w:r>
              <w:rPr>
                <w:rFonts w:hint="eastAsia" w:ascii="宋体" w:hAnsi="宋体" w:eastAsia="宋体" w:cs="Arial"/>
                <w:color w:val="000000"/>
                <w:kern w:val="0"/>
                <w:sz w:val="22"/>
                <w:highlight w:val="none"/>
              </w:rPr>
              <w:t>　</w:t>
            </w:r>
          </w:p>
        </w:tc>
        <w:tc>
          <w:tcPr>
            <w:tcW w:w="423" w:type="dxa"/>
            <w:tcBorders>
              <w:top w:val="nil"/>
              <w:left w:val="nil"/>
              <w:bottom w:val="single" w:color="auto"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883" w:type="dxa"/>
            <w:tcBorders>
              <w:top w:val="nil"/>
              <w:left w:val="nil"/>
              <w:bottom w:val="single" w:color="auto"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870" w:type="dxa"/>
            <w:tcBorders>
              <w:top w:val="nil"/>
              <w:left w:val="nil"/>
              <w:bottom w:val="single" w:color="auto"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981" w:type="dxa"/>
            <w:tcBorders>
              <w:top w:val="nil"/>
              <w:left w:val="nil"/>
              <w:bottom w:val="single" w:color="auto"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276" w:type="dxa"/>
            <w:tcBorders>
              <w:top w:val="nil"/>
              <w:left w:val="nil"/>
              <w:bottom w:val="single" w:color="auto" w:sz="4" w:space="0"/>
              <w:right w:val="single" w:color="000000" w:sz="8"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trHeight w:val="270" w:hRule="atLeast"/>
        </w:trPr>
        <w:tc>
          <w:tcPr>
            <w:tcW w:w="1308" w:type="dxa"/>
            <w:gridSpan w:val="3"/>
            <w:tcBorders>
              <w:top w:val="single" w:color="000000" w:sz="4" w:space="0"/>
              <w:left w:val="single" w:color="000000" w:sz="8" w:space="0"/>
              <w:bottom w:val="single" w:color="000000"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lang w:val="en-US" w:eastAsia="zh-CN"/>
              </w:rPr>
              <w:t>2050701</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rPr>
              <w:t>特殊学校教育</w:t>
            </w:r>
          </w:p>
        </w:tc>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819.27</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819.27</w:t>
            </w:r>
          </w:p>
        </w:tc>
        <w:tc>
          <w:tcPr>
            <w:tcW w:w="4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r>
      <w:tr>
        <w:tblPrEx>
          <w:tblCellMar>
            <w:top w:w="0" w:type="dxa"/>
            <w:left w:w="108" w:type="dxa"/>
            <w:bottom w:w="0" w:type="dxa"/>
            <w:right w:w="108" w:type="dxa"/>
          </w:tblCellMar>
        </w:tblPrEx>
        <w:trPr>
          <w:trHeight w:val="270" w:hRule="atLeast"/>
        </w:trPr>
        <w:tc>
          <w:tcPr>
            <w:tcW w:w="1308" w:type="dxa"/>
            <w:gridSpan w:val="3"/>
            <w:tcBorders>
              <w:top w:val="single" w:color="000000" w:sz="4" w:space="0"/>
              <w:left w:val="single" w:color="000000" w:sz="8" w:space="0"/>
              <w:bottom w:val="single" w:color="000000"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lang w:val="en-US" w:eastAsia="zh-CN"/>
              </w:rPr>
              <w:t>2050799</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rPr>
              <w:t>其他特殊教育支出</w:t>
            </w:r>
          </w:p>
        </w:tc>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87.8</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87.8</w:t>
            </w:r>
          </w:p>
        </w:tc>
        <w:tc>
          <w:tcPr>
            <w:tcW w:w="4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r>
      <w:tr>
        <w:tblPrEx>
          <w:tblCellMar>
            <w:top w:w="0" w:type="dxa"/>
            <w:left w:w="108" w:type="dxa"/>
            <w:bottom w:w="0" w:type="dxa"/>
            <w:right w:w="108" w:type="dxa"/>
          </w:tblCellMar>
        </w:tblPrEx>
        <w:trPr>
          <w:trHeight w:val="270" w:hRule="atLeast"/>
        </w:trPr>
        <w:tc>
          <w:tcPr>
            <w:tcW w:w="1308" w:type="dxa"/>
            <w:gridSpan w:val="3"/>
            <w:tcBorders>
              <w:top w:val="single" w:color="000000" w:sz="4" w:space="0"/>
              <w:left w:val="single" w:color="000000" w:sz="8" w:space="0"/>
              <w:bottom w:val="single" w:color="000000"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lang w:val="en-US" w:eastAsia="zh-CN"/>
              </w:rPr>
              <w:t>2050999</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rPr>
              <w:t>其他教育费附加安排的支出</w:t>
            </w:r>
          </w:p>
        </w:tc>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48.79</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48.79</w:t>
            </w:r>
          </w:p>
        </w:tc>
        <w:tc>
          <w:tcPr>
            <w:tcW w:w="4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r>
      <w:tr>
        <w:tblPrEx>
          <w:tblCellMar>
            <w:top w:w="0" w:type="dxa"/>
            <w:left w:w="108" w:type="dxa"/>
            <w:bottom w:w="0" w:type="dxa"/>
            <w:right w:w="108" w:type="dxa"/>
          </w:tblCellMar>
        </w:tblPrEx>
        <w:trPr>
          <w:trHeight w:val="270" w:hRule="atLeast"/>
        </w:trPr>
        <w:tc>
          <w:tcPr>
            <w:tcW w:w="1308" w:type="dxa"/>
            <w:gridSpan w:val="3"/>
            <w:tcBorders>
              <w:top w:val="single" w:color="000000" w:sz="4" w:space="0"/>
              <w:left w:val="single" w:color="000000" w:sz="8" w:space="0"/>
              <w:bottom w:val="single" w:color="000000"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lang w:val="en-US" w:eastAsia="zh-CN"/>
              </w:rPr>
              <w:t>2059999</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rPr>
              <w:t>其他教育支出</w:t>
            </w:r>
          </w:p>
        </w:tc>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32.62</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32.62</w:t>
            </w:r>
          </w:p>
        </w:tc>
        <w:tc>
          <w:tcPr>
            <w:tcW w:w="4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r>
      <w:tr>
        <w:tblPrEx>
          <w:tblCellMar>
            <w:top w:w="0" w:type="dxa"/>
            <w:left w:w="108" w:type="dxa"/>
            <w:bottom w:w="0" w:type="dxa"/>
            <w:right w:w="108" w:type="dxa"/>
          </w:tblCellMar>
        </w:tblPrEx>
        <w:trPr>
          <w:trHeight w:val="270" w:hRule="atLeast"/>
        </w:trPr>
        <w:tc>
          <w:tcPr>
            <w:tcW w:w="1308" w:type="dxa"/>
            <w:gridSpan w:val="3"/>
            <w:tcBorders>
              <w:top w:val="single" w:color="000000" w:sz="4" w:space="0"/>
              <w:left w:val="single" w:color="000000" w:sz="8" w:space="0"/>
              <w:bottom w:val="single" w:color="000000" w:sz="4" w:space="0"/>
              <w:right w:val="single" w:color="auto" w:sz="4" w:space="0"/>
            </w:tcBorders>
            <w:shd w:val="clear" w:color="auto" w:fill="auto"/>
            <w:vAlign w:val="center"/>
          </w:tcPr>
          <w:p>
            <w:pPr>
              <w:widowControl/>
              <w:spacing w:line="240" w:lineRule="auto"/>
              <w:jc w:val="lef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2080801</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死亡抚恤</w:t>
            </w:r>
          </w:p>
        </w:tc>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4.89</w:t>
            </w:r>
          </w:p>
        </w:tc>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4.89</w:t>
            </w:r>
          </w:p>
        </w:tc>
        <w:tc>
          <w:tcPr>
            <w:tcW w:w="4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8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r>
    </w:tbl>
    <w:p>
      <w:pPr>
        <w:pStyle w:val="7"/>
        <w:rPr>
          <w:rFonts w:ascii="Times New Roman" w:hAnsi="Times New Roman" w:cs="Times New Roman" w:eastAsiaTheme="minorEastAsia"/>
          <w:highlight w:val="none"/>
        </w:rPr>
      </w:pPr>
      <w:r>
        <w:rPr>
          <w:rFonts w:hint="eastAsia" w:ascii="Times New Roman" w:hAnsi="Times New Roman" w:cs="Times New Roman" w:eastAsiaTheme="minorEastAsia"/>
          <w:highlight w:val="none"/>
        </w:rPr>
        <w:t>注：本表反映单位本年度取得的各项收入情况。</w:t>
      </w:r>
    </w:p>
    <w:p>
      <w:pPr>
        <w:pStyle w:val="8"/>
        <w:numPr>
          <w:ilvl w:val="0"/>
          <w:numId w:val="1"/>
        </w:numPr>
        <w:ind w:firstLineChars="0"/>
        <w:jc w:val="left"/>
        <w:rPr>
          <w:rFonts w:ascii="黑体" w:hAnsi="仿宋" w:eastAsia="黑体"/>
          <w:sz w:val="32"/>
          <w:szCs w:val="32"/>
          <w:highlight w:val="none"/>
        </w:rPr>
      </w:pPr>
      <w:r>
        <w:rPr>
          <w:rFonts w:hint="eastAsia" w:ascii="黑体" w:hAnsi="仿宋" w:eastAsia="黑体"/>
          <w:sz w:val="32"/>
          <w:szCs w:val="32"/>
          <w:highlight w:val="none"/>
        </w:rPr>
        <w:t>支出决算表</w:t>
      </w:r>
    </w:p>
    <w:tbl>
      <w:tblPr>
        <w:tblStyle w:val="5"/>
        <w:tblW w:w="8660" w:type="dxa"/>
        <w:tblInd w:w="93" w:type="dxa"/>
        <w:tblLayout w:type="fixed"/>
        <w:tblCellMar>
          <w:top w:w="0" w:type="dxa"/>
          <w:left w:w="108" w:type="dxa"/>
          <w:bottom w:w="0" w:type="dxa"/>
          <w:right w:w="108" w:type="dxa"/>
        </w:tblCellMar>
      </w:tblPr>
      <w:tblGrid>
        <w:gridCol w:w="436"/>
        <w:gridCol w:w="436"/>
        <w:gridCol w:w="436"/>
        <w:gridCol w:w="692"/>
        <w:gridCol w:w="992"/>
        <w:gridCol w:w="1049"/>
        <w:gridCol w:w="885"/>
        <w:gridCol w:w="901"/>
        <w:gridCol w:w="709"/>
        <w:gridCol w:w="1888"/>
        <w:gridCol w:w="236"/>
      </w:tblGrid>
      <w:tr>
        <w:tblPrEx>
          <w:tblCellMar>
            <w:top w:w="0" w:type="dxa"/>
            <w:left w:w="108" w:type="dxa"/>
            <w:bottom w:w="0" w:type="dxa"/>
            <w:right w:w="108" w:type="dxa"/>
          </w:tblCellMar>
        </w:tblPrEx>
        <w:trPr>
          <w:gridAfter w:val="1"/>
          <w:wAfter w:w="236" w:type="dxa"/>
          <w:trHeight w:val="495" w:hRule="atLeast"/>
        </w:trPr>
        <w:tc>
          <w:tcPr>
            <w:tcW w:w="8424" w:type="dxa"/>
            <w:gridSpan w:val="10"/>
            <w:tcBorders>
              <w:top w:val="nil"/>
              <w:left w:val="nil"/>
              <w:bottom w:val="nil"/>
              <w:right w:val="nil"/>
            </w:tcBorders>
            <w:shd w:val="clear" w:color="auto" w:fill="auto"/>
            <w:vAlign w:val="bottom"/>
          </w:tcPr>
          <w:p>
            <w:pPr>
              <w:widowControl/>
              <w:spacing w:line="240" w:lineRule="auto"/>
              <w:jc w:val="center"/>
              <w:rPr>
                <w:rFonts w:ascii="宋体" w:hAnsi="宋体" w:eastAsia="宋体" w:cs="Arial"/>
                <w:color w:val="000000"/>
                <w:kern w:val="0"/>
                <w:sz w:val="44"/>
                <w:szCs w:val="44"/>
                <w:highlight w:val="none"/>
              </w:rPr>
            </w:pPr>
            <w:r>
              <w:rPr>
                <w:rFonts w:hint="eastAsia" w:ascii="黑体" w:hAnsi="Arial" w:eastAsia="黑体" w:cs="Arial"/>
                <w:color w:val="000000"/>
                <w:kern w:val="0"/>
                <w:sz w:val="36"/>
                <w:szCs w:val="36"/>
                <w:highlight w:val="none"/>
              </w:rPr>
              <w:t>支出决算表</w:t>
            </w:r>
          </w:p>
        </w:tc>
      </w:tr>
      <w:tr>
        <w:tblPrEx>
          <w:tblCellMar>
            <w:top w:w="0" w:type="dxa"/>
            <w:left w:w="108" w:type="dxa"/>
            <w:bottom w:w="0" w:type="dxa"/>
            <w:right w:w="108" w:type="dxa"/>
          </w:tblCellMar>
        </w:tblPrEx>
        <w:trPr>
          <w:trHeight w:val="300" w:hRule="atLeast"/>
        </w:trPr>
        <w:tc>
          <w:tcPr>
            <w:tcW w:w="436"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436"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436"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692"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992"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1049"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885"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901"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2597" w:type="dxa"/>
            <w:gridSpan w:val="2"/>
            <w:tcBorders>
              <w:top w:val="nil"/>
              <w:left w:val="nil"/>
              <w:bottom w:val="nil"/>
              <w:right w:val="nil"/>
            </w:tcBorders>
            <w:shd w:val="clear" w:color="auto" w:fill="auto"/>
            <w:vAlign w:val="bottom"/>
          </w:tcPr>
          <w:p>
            <w:pPr>
              <w:widowControl/>
              <w:spacing w:line="240" w:lineRule="auto"/>
              <w:ind w:firstLine="1500" w:firstLineChars="750"/>
              <w:jc w:val="right"/>
              <w:rPr>
                <w:rFonts w:ascii="Arial" w:hAnsi="Arial" w:eastAsia="宋体" w:cs="Arial"/>
                <w:color w:val="000000"/>
                <w:kern w:val="0"/>
                <w:sz w:val="20"/>
                <w:szCs w:val="20"/>
                <w:highlight w:val="none"/>
              </w:rPr>
            </w:pPr>
            <w:r>
              <w:rPr>
                <w:rFonts w:hint="eastAsia" w:ascii="Arial" w:hAnsi="Arial" w:eastAsia="宋体" w:cs="Arial"/>
                <w:color w:val="000000"/>
                <w:kern w:val="0"/>
                <w:sz w:val="20"/>
                <w:szCs w:val="20"/>
                <w:highlight w:val="none"/>
              </w:rPr>
              <w:t>公开03表</w:t>
            </w:r>
          </w:p>
        </w:tc>
        <w:tc>
          <w:tcPr>
            <w:tcW w:w="236" w:type="dxa"/>
            <w:tcBorders>
              <w:top w:val="nil"/>
              <w:left w:val="nil"/>
              <w:bottom w:val="nil"/>
              <w:right w:val="nil"/>
            </w:tcBorders>
            <w:shd w:val="clear" w:color="auto" w:fill="auto"/>
            <w:vAlign w:val="bottom"/>
          </w:tcPr>
          <w:p>
            <w:pPr>
              <w:widowControl/>
              <w:spacing w:line="240" w:lineRule="auto"/>
              <w:jc w:val="right"/>
              <w:rPr>
                <w:rFonts w:ascii="宋体" w:hAnsi="宋体" w:eastAsia="宋体" w:cs="Arial"/>
                <w:color w:val="000000"/>
                <w:kern w:val="0"/>
                <w:sz w:val="24"/>
                <w:szCs w:val="24"/>
                <w:highlight w:val="none"/>
              </w:rPr>
            </w:pPr>
          </w:p>
        </w:tc>
      </w:tr>
      <w:tr>
        <w:tblPrEx>
          <w:tblCellMar>
            <w:top w:w="0" w:type="dxa"/>
            <w:left w:w="108" w:type="dxa"/>
            <w:bottom w:w="0" w:type="dxa"/>
            <w:right w:w="108" w:type="dxa"/>
          </w:tblCellMar>
        </w:tblPrEx>
        <w:trPr>
          <w:gridAfter w:val="1"/>
          <w:wAfter w:w="236" w:type="dxa"/>
          <w:trHeight w:val="315" w:hRule="atLeast"/>
        </w:trPr>
        <w:tc>
          <w:tcPr>
            <w:tcW w:w="2000" w:type="dxa"/>
            <w:gridSpan w:val="4"/>
            <w:tcBorders>
              <w:top w:val="nil"/>
              <w:left w:val="nil"/>
              <w:bottom w:val="nil"/>
              <w:right w:val="nil"/>
            </w:tcBorders>
            <w:shd w:val="clear" w:color="auto" w:fill="auto"/>
            <w:vAlign w:val="bottom"/>
          </w:tcPr>
          <w:p>
            <w:pPr>
              <w:widowControl/>
              <w:spacing w:line="240" w:lineRule="auto"/>
              <w:jc w:val="left"/>
              <w:rPr>
                <w:rFonts w:ascii="宋体" w:hAnsi="宋体" w:eastAsia="宋体" w:cs="Arial"/>
                <w:color w:val="000000"/>
                <w:kern w:val="0"/>
                <w:sz w:val="24"/>
                <w:szCs w:val="24"/>
                <w:highlight w:val="none"/>
              </w:rPr>
            </w:pPr>
            <w:r>
              <w:rPr>
                <w:rFonts w:hint="eastAsia" w:ascii="宋体" w:hAnsi="宋体" w:eastAsia="宋体" w:cs="Arial"/>
                <w:color w:val="000000"/>
                <w:kern w:val="0"/>
                <w:sz w:val="24"/>
                <w:szCs w:val="24"/>
                <w:highlight w:val="none"/>
              </w:rPr>
              <w:t>单位：</w:t>
            </w:r>
          </w:p>
        </w:tc>
        <w:tc>
          <w:tcPr>
            <w:tcW w:w="992"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1049" w:type="dxa"/>
            <w:tcBorders>
              <w:top w:val="nil"/>
              <w:left w:val="nil"/>
              <w:bottom w:val="nil"/>
              <w:right w:val="nil"/>
            </w:tcBorders>
            <w:shd w:val="clear" w:color="auto" w:fill="auto"/>
            <w:vAlign w:val="bottom"/>
          </w:tcPr>
          <w:p>
            <w:pPr>
              <w:widowControl/>
              <w:spacing w:line="240" w:lineRule="auto"/>
              <w:jc w:val="center"/>
              <w:rPr>
                <w:rFonts w:ascii="宋体" w:hAnsi="宋体" w:eastAsia="宋体" w:cs="Arial"/>
                <w:color w:val="000000"/>
                <w:kern w:val="0"/>
                <w:sz w:val="24"/>
                <w:szCs w:val="24"/>
                <w:highlight w:val="none"/>
              </w:rPr>
            </w:pPr>
          </w:p>
        </w:tc>
        <w:tc>
          <w:tcPr>
            <w:tcW w:w="885"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901" w:type="dxa"/>
            <w:tcBorders>
              <w:top w:val="nil"/>
              <w:left w:val="nil"/>
              <w:bottom w:val="single" w:color="auto" w:sz="4" w:space="0"/>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2597" w:type="dxa"/>
            <w:gridSpan w:val="2"/>
            <w:tcBorders>
              <w:top w:val="nil"/>
              <w:left w:val="nil"/>
              <w:bottom w:val="single" w:color="auto" w:sz="4" w:space="0"/>
              <w:right w:val="nil"/>
            </w:tcBorders>
            <w:shd w:val="clear" w:color="auto" w:fill="auto"/>
            <w:vAlign w:val="bottom"/>
          </w:tcPr>
          <w:p>
            <w:pPr>
              <w:widowControl/>
              <w:spacing w:line="240" w:lineRule="auto"/>
              <w:ind w:right="79"/>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xml:space="preserve">   单位：万元</w:t>
            </w:r>
          </w:p>
        </w:tc>
      </w:tr>
      <w:tr>
        <w:tblPrEx>
          <w:tblCellMar>
            <w:top w:w="0" w:type="dxa"/>
            <w:left w:w="108" w:type="dxa"/>
            <w:bottom w:w="0" w:type="dxa"/>
            <w:right w:w="108" w:type="dxa"/>
          </w:tblCellMar>
        </w:tblPrEx>
        <w:trPr>
          <w:gridAfter w:val="1"/>
          <w:wAfter w:w="236" w:type="dxa"/>
          <w:trHeight w:val="308" w:hRule="atLeast"/>
        </w:trPr>
        <w:tc>
          <w:tcPr>
            <w:tcW w:w="2000"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项目</w:t>
            </w:r>
          </w:p>
        </w:tc>
        <w:tc>
          <w:tcPr>
            <w:tcW w:w="9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本年支出合计</w:t>
            </w:r>
          </w:p>
        </w:tc>
        <w:tc>
          <w:tcPr>
            <w:tcW w:w="104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基本支出</w:t>
            </w:r>
          </w:p>
        </w:tc>
        <w:tc>
          <w:tcPr>
            <w:tcW w:w="885" w:type="dxa"/>
            <w:vMerge w:val="restart"/>
            <w:tcBorders>
              <w:top w:val="single" w:color="000000" w:sz="8" w:space="0"/>
              <w:left w:val="nil"/>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项目支出</w:t>
            </w:r>
          </w:p>
        </w:tc>
        <w:tc>
          <w:tcPr>
            <w:tcW w:w="9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上缴上级支出</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经营支出</w:t>
            </w:r>
          </w:p>
        </w:tc>
        <w:tc>
          <w:tcPr>
            <w:tcW w:w="1888"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对附属单位补助支出</w:t>
            </w:r>
          </w:p>
        </w:tc>
      </w:tr>
      <w:tr>
        <w:trPr>
          <w:gridAfter w:val="1"/>
          <w:wAfter w:w="236" w:type="dxa"/>
          <w:trHeight w:val="976" w:hRule="atLeast"/>
        </w:trPr>
        <w:tc>
          <w:tcPr>
            <w:tcW w:w="130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支出功能分类科目编码</w:t>
            </w:r>
          </w:p>
        </w:tc>
        <w:tc>
          <w:tcPr>
            <w:tcW w:w="692"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科目名称</w:t>
            </w:r>
          </w:p>
        </w:tc>
        <w:tc>
          <w:tcPr>
            <w:tcW w:w="992"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1049" w:type="dxa"/>
            <w:vMerge w:val="continue"/>
            <w:tcBorders>
              <w:top w:val="single" w:color="000000" w:sz="8" w:space="0"/>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885" w:type="dxa"/>
            <w:vMerge w:val="continue"/>
            <w:tcBorders>
              <w:top w:val="single" w:color="000000" w:sz="8" w:space="0"/>
              <w:left w:val="nil"/>
              <w:bottom w:val="single" w:color="000000" w:sz="4" w:space="0"/>
              <w:right w:val="single" w:color="auto" w:sz="4" w:space="0"/>
            </w:tcBorders>
            <w:vAlign w:val="center"/>
          </w:tcPr>
          <w:p>
            <w:pPr>
              <w:widowControl/>
              <w:spacing w:line="240" w:lineRule="auto"/>
              <w:jc w:val="left"/>
              <w:rPr>
                <w:rFonts w:ascii="宋体" w:hAnsi="宋体" w:eastAsia="宋体" w:cs="Arial"/>
                <w:color w:val="000000"/>
                <w:kern w:val="0"/>
                <w:sz w:val="22"/>
                <w:highlight w:val="none"/>
              </w:rPr>
            </w:pPr>
          </w:p>
        </w:tc>
        <w:tc>
          <w:tcPr>
            <w:tcW w:w="9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highlight w:val="none"/>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highlight w:val="none"/>
              </w:rPr>
            </w:pPr>
          </w:p>
        </w:tc>
        <w:tc>
          <w:tcPr>
            <w:tcW w:w="1888" w:type="dxa"/>
            <w:vMerge w:val="continue"/>
            <w:tcBorders>
              <w:left w:val="single" w:color="auto" w:sz="4" w:space="0"/>
              <w:bottom w:val="nil"/>
              <w:right w:val="single" w:color="auto" w:sz="4" w:space="0"/>
            </w:tcBorders>
            <w:vAlign w:val="center"/>
          </w:tcPr>
          <w:p>
            <w:pPr>
              <w:widowControl/>
              <w:spacing w:line="240" w:lineRule="auto"/>
              <w:jc w:val="left"/>
              <w:rPr>
                <w:rFonts w:ascii="宋体" w:hAnsi="宋体" w:eastAsia="宋体" w:cs="Arial"/>
                <w:color w:val="000000"/>
                <w:kern w:val="0"/>
                <w:sz w:val="22"/>
                <w:highlight w:val="none"/>
              </w:rPr>
            </w:pPr>
          </w:p>
        </w:tc>
      </w:tr>
      <w:tr>
        <w:tblPrEx>
          <w:tblCellMar>
            <w:top w:w="0" w:type="dxa"/>
            <w:left w:w="108" w:type="dxa"/>
            <w:bottom w:w="0" w:type="dxa"/>
            <w:right w:w="108" w:type="dxa"/>
          </w:tblCellMar>
        </w:tblPrEx>
        <w:trPr>
          <w:gridAfter w:val="1"/>
          <w:wAfter w:w="236" w:type="dxa"/>
          <w:trHeight w:val="308" w:hRule="atLeast"/>
        </w:trPr>
        <w:tc>
          <w:tcPr>
            <w:tcW w:w="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类</w:t>
            </w:r>
          </w:p>
        </w:tc>
        <w:tc>
          <w:tcPr>
            <w:tcW w:w="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款</w:t>
            </w:r>
          </w:p>
        </w:tc>
        <w:tc>
          <w:tcPr>
            <w:tcW w:w="4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项</w:t>
            </w:r>
          </w:p>
        </w:tc>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合计</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1155.22</w:t>
            </w:r>
            <w:r>
              <w:rPr>
                <w:rFonts w:hint="eastAsia" w:ascii="宋体" w:hAnsi="宋体" w:eastAsia="宋体" w:cs="Arial"/>
                <w:color w:val="000000"/>
                <w:kern w:val="0"/>
                <w:sz w:val="22"/>
                <w:highlight w:val="none"/>
              </w:rPr>
              <w:t>　</w:t>
            </w: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lang w:val="en-US" w:eastAsia="zh-CN"/>
              </w:rPr>
              <w:t>806.06</w:t>
            </w:r>
            <w:r>
              <w:rPr>
                <w:rFonts w:hint="eastAsia" w:ascii="宋体" w:hAnsi="宋体" w:eastAsia="宋体" w:cs="Arial"/>
                <w:color w:val="000000"/>
                <w:kern w:val="0"/>
                <w:sz w:val="22"/>
                <w:highlight w:val="none"/>
              </w:rPr>
              <w:t>　</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349.16</w:t>
            </w:r>
            <w:r>
              <w:rPr>
                <w:rFonts w:hint="eastAsia" w:ascii="宋体" w:hAnsi="宋体" w:eastAsia="宋体" w:cs="Arial"/>
                <w:color w:val="000000"/>
                <w:kern w:val="0"/>
                <w:sz w:val="22"/>
                <w:highlight w:val="none"/>
              </w:rPr>
              <w:t>　</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gridAfter w:val="1"/>
          <w:wAfter w:w="236" w:type="dxa"/>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rPr>
              <w:t>　</w:t>
            </w:r>
            <w:r>
              <w:rPr>
                <w:rFonts w:hint="eastAsia" w:ascii="宋体" w:hAnsi="宋体" w:eastAsia="宋体" w:cs="Arial"/>
                <w:color w:val="000000"/>
                <w:kern w:val="0"/>
                <w:sz w:val="22"/>
                <w:highlight w:val="none"/>
                <w:lang w:val="en-US" w:eastAsia="zh-CN"/>
              </w:rPr>
              <w:t>2050701</w:t>
            </w:r>
          </w:p>
        </w:tc>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rPr>
              <w:t>　 特殊学校教育</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rPr>
            </w:pPr>
            <w:r>
              <w:rPr>
                <w:rFonts w:hint="eastAsia" w:ascii="宋体" w:hAnsi="宋体" w:eastAsia="宋体" w:cs="Arial"/>
                <w:color w:val="000000"/>
                <w:kern w:val="0"/>
                <w:sz w:val="22"/>
                <w:highlight w:val="none"/>
                <w:lang w:val="en-US" w:eastAsia="zh-CN"/>
              </w:rPr>
              <w:t>921.45</w:t>
            </w: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lang w:val="en-US" w:eastAsia="zh-CN"/>
              </w:rPr>
              <w:t>775.73</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145.72</w:t>
            </w:r>
            <w:r>
              <w:rPr>
                <w:rFonts w:hint="eastAsia" w:ascii="宋体" w:hAnsi="宋体" w:eastAsia="宋体" w:cs="Arial"/>
                <w:color w:val="000000"/>
                <w:kern w:val="0"/>
                <w:sz w:val="22"/>
                <w:highlight w:val="none"/>
              </w:rPr>
              <w:t>　</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szCs w:val="22"/>
                <w:highlight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gridAfter w:val="1"/>
          <w:wAfter w:w="236" w:type="dxa"/>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lang w:val="en-US" w:eastAsia="zh-CN"/>
              </w:rPr>
              <w:t>2050799</w:t>
            </w:r>
          </w:p>
        </w:tc>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rPr>
              <w:t>其他特殊教育支出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137.49</w:t>
            </w: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szCs w:val="22"/>
                <w:highlight w:val="none"/>
                <w:lang w:val="en-US" w:eastAsia="zh-CN" w:bidi="ar-SA"/>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137.49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szCs w:val="22"/>
                <w:highlight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r>
      <w:tr>
        <w:tblPrEx>
          <w:tblCellMar>
            <w:top w:w="0" w:type="dxa"/>
            <w:left w:w="108" w:type="dxa"/>
            <w:bottom w:w="0" w:type="dxa"/>
            <w:right w:w="108" w:type="dxa"/>
          </w:tblCellMar>
        </w:tblPrEx>
        <w:trPr>
          <w:gridAfter w:val="1"/>
          <w:wAfter w:w="236" w:type="dxa"/>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lang w:val="en-US" w:eastAsia="zh-CN"/>
              </w:rPr>
              <w:t>2050999</w:t>
            </w:r>
          </w:p>
        </w:tc>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rPr>
              <w:t>其他教育费附加安排的支出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58.77</w:t>
            </w: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lang w:val="en-US" w:eastAsia="zh-CN"/>
              </w:rPr>
              <w:t>9.98</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48.79</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szCs w:val="22"/>
                <w:highlight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r>
      <w:tr>
        <w:tblPrEx>
          <w:tblCellMar>
            <w:top w:w="0" w:type="dxa"/>
            <w:left w:w="108" w:type="dxa"/>
            <w:bottom w:w="0" w:type="dxa"/>
            <w:right w:w="108" w:type="dxa"/>
          </w:tblCellMar>
        </w:tblPrEx>
        <w:trPr>
          <w:gridAfter w:val="1"/>
          <w:wAfter w:w="236" w:type="dxa"/>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lang w:val="en-US" w:eastAsia="zh-CN"/>
              </w:rPr>
              <w:t>2059999</w:t>
            </w:r>
          </w:p>
        </w:tc>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rPr>
              <w:t>其他教育支出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32.62</w:t>
            </w: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lang w:val="en-US" w:eastAsia="zh-CN"/>
              </w:rPr>
              <w:t>15.46</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17.16</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szCs w:val="22"/>
                <w:highlight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r>
      <w:tr>
        <w:tblPrEx>
          <w:tblCellMar>
            <w:top w:w="0" w:type="dxa"/>
            <w:left w:w="108" w:type="dxa"/>
            <w:bottom w:w="0" w:type="dxa"/>
            <w:right w:w="108" w:type="dxa"/>
          </w:tblCellMar>
        </w:tblPrEx>
        <w:trPr>
          <w:gridAfter w:val="1"/>
          <w:wAfter w:w="236" w:type="dxa"/>
          <w:trHeight w:val="270" w:hRule="atLeast"/>
        </w:trPr>
        <w:tc>
          <w:tcPr>
            <w:tcW w:w="13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lang w:val="en-US" w:eastAsia="zh-CN"/>
              </w:rPr>
              <w:t>2080801</w:t>
            </w:r>
          </w:p>
        </w:tc>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rPr>
              <w:t>死亡抚恤</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4.89</w:t>
            </w: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lang w:val="en-US" w:eastAsia="zh-CN"/>
              </w:rPr>
              <w:t>4.89</w:t>
            </w: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szCs w:val="22"/>
                <w:highlight w:val="none"/>
                <w:lang w:val="en-US" w:eastAsia="zh-CN" w:bidi="ar-SA"/>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1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r>
    </w:tbl>
    <w:p>
      <w:pPr>
        <w:pStyle w:val="7"/>
        <w:rPr>
          <w:rFonts w:ascii="Times New Roman" w:hAnsi="Times New Roman" w:cs="Times New Roman" w:eastAsiaTheme="minorEastAsia"/>
          <w:highlight w:val="none"/>
        </w:rPr>
      </w:pPr>
      <w:r>
        <w:rPr>
          <w:rFonts w:hint="eastAsia" w:ascii="Times New Roman" w:hAnsi="Times New Roman" w:cs="Times New Roman" w:eastAsiaTheme="minorEastAsia"/>
          <w:highlight w:val="none"/>
        </w:rPr>
        <w:t>注：本表反映单位本年度各项支出情况。</w:t>
      </w:r>
    </w:p>
    <w:p>
      <w:pPr>
        <w:pStyle w:val="8"/>
        <w:numPr>
          <w:ilvl w:val="0"/>
          <w:numId w:val="1"/>
        </w:numPr>
        <w:ind w:firstLineChars="0"/>
        <w:jc w:val="left"/>
        <w:rPr>
          <w:rFonts w:ascii="黑体" w:hAnsi="仿宋" w:eastAsia="黑体"/>
          <w:sz w:val="32"/>
          <w:szCs w:val="32"/>
          <w:highlight w:val="none"/>
        </w:rPr>
      </w:pPr>
      <w:r>
        <w:rPr>
          <w:rFonts w:hint="eastAsia" w:ascii="黑体" w:hAnsi="仿宋" w:eastAsia="黑体"/>
          <w:sz w:val="32"/>
          <w:szCs w:val="32"/>
          <w:highlight w:val="none"/>
        </w:rPr>
        <w:t>财政拨款收入支出决算总表</w:t>
      </w:r>
    </w:p>
    <w:tbl>
      <w:tblPr>
        <w:tblStyle w:val="5"/>
        <w:tblW w:w="9385" w:type="dxa"/>
        <w:tblInd w:w="93" w:type="dxa"/>
        <w:tblLayout w:type="fixed"/>
        <w:tblCellMar>
          <w:top w:w="0" w:type="dxa"/>
          <w:left w:w="108" w:type="dxa"/>
          <w:bottom w:w="0" w:type="dxa"/>
          <w:right w:w="108" w:type="dxa"/>
        </w:tblCellMar>
      </w:tblPr>
      <w:tblGrid>
        <w:gridCol w:w="2196"/>
        <w:gridCol w:w="831"/>
        <w:gridCol w:w="246"/>
        <w:gridCol w:w="1987"/>
        <w:gridCol w:w="1061"/>
        <w:gridCol w:w="277"/>
        <w:gridCol w:w="511"/>
        <w:gridCol w:w="217"/>
        <w:gridCol w:w="627"/>
        <w:gridCol w:w="993"/>
        <w:gridCol w:w="439"/>
      </w:tblGrid>
      <w:tr>
        <w:tblPrEx>
          <w:tblCellMar>
            <w:top w:w="0" w:type="dxa"/>
            <w:left w:w="108" w:type="dxa"/>
            <w:bottom w:w="0" w:type="dxa"/>
            <w:right w:w="108" w:type="dxa"/>
          </w:tblCellMar>
        </w:tblPrEx>
        <w:trPr>
          <w:gridAfter w:val="1"/>
          <w:wAfter w:w="439" w:type="dxa"/>
          <w:trHeight w:val="540" w:hRule="atLeast"/>
        </w:trPr>
        <w:tc>
          <w:tcPr>
            <w:tcW w:w="7953" w:type="dxa"/>
            <w:gridSpan w:val="9"/>
            <w:tcBorders>
              <w:top w:val="nil"/>
              <w:left w:val="nil"/>
              <w:bottom w:val="nil"/>
              <w:right w:val="nil"/>
            </w:tcBorders>
            <w:shd w:val="clear" w:color="auto" w:fill="auto"/>
            <w:vAlign w:val="bottom"/>
          </w:tcPr>
          <w:p>
            <w:pPr>
              <w:widowControl/>
              <w:spacing w:line="240" w:lineRule="auto"/>
              <w:jc w:val="center"/>
              <w:rPr>
                <w:rFonts w:ascii="宋体" w:hAnsi="宋体" w:eastAsia="宋体" w:cs="Arial"/>
                <w:color w:val="000000"/>
                <w:kern w:val="0"/>
                <w:sz w:val="44"/>
                <w:szCs w:val="44"/>
                <w:highlight w:val="none"/>
              </w:rPr>
            </w:pPr>
            <w:r>
              <w:rPr>
                <w:rFonts w:hint="eastAsia" w:ascii="黑体" w:hAnsi="Arial" w:eastAsia="黑体" w:cs="Arial"/>
                <w:color w:val="000000"/>
                <w:kern w:val="0"/>
                <w:sz w:val="36"/>
                <w:szCs w:val="36"/>
                <w:highlight w:val="none"/>
              </w:rPr>
              <w:t>财政拨款收入支出决算总表</w:t>
            </w:r>
          </w:p>
        </w:tc>
        <w:tc>
          <w:tcPr>
            <w:tcW w:w="993" w:type="dxa"/>
            <w:tcBorders>
              <w:top w:val="nil"/>
              <w:left w:val="nil"/>
              <w:bottom w:val="nil"/>
              <w:right w:val="nil"/>
            </w:tcBorders>
          </w:tcPr>
          <w:p>
            <w:pPr>
              <w:widowControl/>
              <w:spacing w:line="240" w:lineRule="auto"/>
              <w:jc w:val="center"/>
              <w:rPr>
                <w:rFonts w:ascii="黑体" w:hAnsi="Arial" w:eastAsia="黑体" w:cs="Arial"/>
                <w:color w:val="000000"/>
                <w:kern w:val="0"/>
                <w:sz w:val="36"/>
                <w:szCs w:val="36"/>
                <w:highlight w:val="none"/>
              </w:rPr>
            </w:pPr>
          </w:p>
        </w:tc>
      </w:tr>
      <w:tr>
        <w:tblPrEx>
          <w:tblCellMar>
            <w:top w:w="0" w:type="dxa"/>
            <w:left w:w="108" w:type="dxa"/>
            <w:bottom w:w="0" w:type="dxa"/>
            <w:right w:w="108" w:type="dxa"/>
          </w:tblCellMar>
        </w:tblPrEx>
        <w:trPr>
          <w:trHeight w:val="255" w:hRule="atLeast"/>
        </w:trPr>
        <w:tc>
          <w:tcPr>
            <w:tcW w:w="3027" w:type="dxa"/>
            <w:gridSpan w:val="2"/>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246"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3325" w:type="dxa"/>
            <w:gridSpan w:val="3"/>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511"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1837" w:type="dxa"/>
            <w:gridSpan w:val="3"/>
            <w:tcBorders>
              <w:top w:val="nil"/>
              <w:left w:val="nil"/>
              <w:bottom w:val="nil"/>
              <w:right w:val="nil"/>
            </w:tcBorders>
            <w:shd w:val="clear" w:color="auto" w:fill="auto"/>
            <w:vAlign w:val="bottom"/>
          </w:tcPr>
          <w:p>
            <w:pPr>
              <w:widowControl/>
              <w:spacing w:line="240" w:lineRule="auto"/>
              <w:jc w:val="right"/>
              <w:rPr>
                <w:rFonts w:ascii="Arial" w:hAnsi="Arial" w:eastAsia="宋体" w:cs="Arial"/>
                <w:color w:val="000000"/>
                <w:kern w:val="0"/>
                <w:sz w:val="20"/>
                <w:szCs w:val="20"/>
                <w:highlight w:val="none"/>
              </w:rPr>
            </w:pPr>
            <w:r>
              <w:rPr>
                <w:rFonts w:hint="eastAsia" w:ascii="Arial" w:hAnsi="Arial" w:eastAsia="宋体" w:cs="Arial"/>
                <w:color w:val="000000"/>
                <w:kern w:val="0"/>
                <w:sz w:val="20"/>
                <w:szCs w:val="20"/>
                <w:highlight w:val="none"/>
              </w:rPr>
              <w:t>公开04表</w:t>
            </w:r>
          </w:p>
        </w:tc>
        <w:tc>
          <w:tcPr>
            <w:tcW w:w="439"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15" w:hRule="atLeast"/>
        </w:trPr>
        <w:tc>
          <w:tcPr>
            <w:tcW w:w="3027" w:type="dxa"/>
            <w:gridSpan w:val="2"/>
            <w:tcBorders>
              <w:top w:val="nil"/>
              <w:left w:val="nil"/>
              <w:bottom w:val="nil"/>
              <w:right w:val="nil"/>
            </w:tcBorders>
            <w:shd w:val="clear" w:color="auto" w:fill="auto"/>
            <w:vAlign w:val="bottom"/>
          </w:tcPr>
          <w:p>
            <w:pPr>
              <w:widowControl/>
              <w:spacing w:line="240" w:lineRule="auto"/>
              <w:jc w:val="left"/>
              <w:rPr>
                <w:rFonts w:ascii="宋体" w:hAnsi="宋体" w:eastAsia="宋体" w:cs="Arial"/>
                <w:color w:val="000000"/>
                <w:kern w:val="0"/>
                <w:sz w:val="24"/>
                <w:szCs w:val="24"/>
                <w:highlight w:val="none"/>
              </w:rPr>
            </w:pPr>
            <w:r>
              <w:rPr>
                <w:rFonts w:hint="eastAsia" w:ascii="宋体" w:hAnsi="宋体" w:eastAsia="宋体" w:cs="Arial"/>
                <w:color w:val="000000"/>
                <w:kern w:val="0"/>
                <w:sz w:val="24"/>
                <w:szCs w:val="24"/>
                <w:highlight w:val="none"/>
              </w:rPr>
              <w:t>单位：</w:t>
            </w:r>
          </w:p>
        </w:tc>
        <w:tc>
          <w:tcPr>
            <w:tcW w:w="246" w:type="dxa"/>
            <w:tcBorders>
              <w:top w:val="nil"/>
              <w:left w:val="nil"/>
              <w:bottom w:val="nil"/>
              <w:right w:val="nil"/>
            </w:tcBorders>
            <w:shd w:val="clear" w:color="auto" w:fill="auto"/>
            <w:vAlign w:val="bottom"/>
          </w:tcPr>
          <w:p>
            <w:pPr>
              <w:widowControl/>
              <w:spacing w:line="240" w:lineRule="auto"/>
              <w:jc w:val="center"/>
              <w:rPr>
                <w:rFonts w:ascii="宋体" w:hAnsi="宋体" w:eastAsia="宋体" w:cs="Arial"/>
                <w:color w:val="000000"/>
                <w:kern w:val="0"/>
                <w:sz w:val="24"/>
                <w:szCs w:val="24"/>
                <w:highlight w:val="none"/>
              </w:rPr>
            </w:pPr>
          </w:p>
        </w:tc>
        <w:tc>
          <w:tcPr>
            <w:tcW w:w="3325" w:type="dxa"/>
            <w:gridSpan w:val="3"/>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511"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1837" w:type="dxa"/>
            <w:gridSpan w:val="3"/>
            <w:tcBorders>
              <w:top w:val="nil"/>
              <w:left w:val="nil"/>
              <w:bottom w:val="nil"/>
              <w:right w:val="nil"/>
            </w:tcBorders>
            <w:shd w:val="clear" w:color="auto" w:fill="auto"/>
            <w:vAlign w:val="bottom"/>
          </w:tcPr>
          <w:p>
            <w:pPr>
              <w:widowControl/>
              <w:spacing w:line="240" w:lineRule="auto"/>
              <w:jc w:val="righ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单位：万元</w:t>
            </w:r>
          </w:p>
        </w:tc>
      </w:tr>
      <w:tr>
        <w:tblPrEx>
          <w:tblCellMar>
            <w:top w:w="0" w:type="dxa"/>
            <w:left w:w="108" w:type="dxa"/>
            <w:bottom w:w="0" w:type="dxa"/>
            <w:right w:w="108" w:type="dxa"/>
          </w:tblCellMar>
        </w:tblPrEx>
        <w:trPr>
          <w:gridAfter w:val="1"/>
          <w:wAfter w:w="439" w:type="dxa"/>
          <w:trHeight w:val="308" w:hRule="atLeast"/>
        </w:trPr>
        <w:tc>
          <w:tcPr>
            <w:tcW w:w="3273"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收     入</w:t>
            </w:r>
          </w:p>
        </w:tc>
        <w:tc>
          <w:tcPr>
            <w:tcW w:w="567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支     出</w:t>
            </w:r>
          </w:p>
        </w:tc>
      </w:tr>
      <w:tr>
        <w:tblPrEx>
          <w:tblCellMar>
            <w:top w:w="0" w:type="dxa"/>
            <w:left w:w="108" w:type="dxa"/>
            <w:bottom w:w="0" w:type="dxa"/>
            <w:right w:w="108" w:type="dxa"/>
          </w:tblCellMar>
        </w:tblPrEx>
        <w:trPr>
          <w:gridAfter w:val="1"/>
          <w:wAfter w:w="439" w:type="dxa"/>
          <w:trHeight w:val="1238" w:hRule="atLeast"/>
        </w:trPr>
        <w:tc>
          <w:tcPr>
            <w:tcW w:w="219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项    目</w:t>
            </w:r>
          </w:p>
        </w:tc>
        <w:tc>
          <w:tcPr>
            <w:tcW w:w="1077" w:type="dxa"/>
            <w:gridSpan w:val="2"/>
            <w:tcBorders>
              <w:top w:val="nil"/>
              <w:left w:val="nil"/>
              <w:bottom w:val="single" w:color="000000" w:sz="4" w:space="0"/>
              <w:right w:val="nil"/>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金额</w:t>
            </w:r>
          </w:p>
        </w:tc>
        <w:tc>
          <w:tcPr>
            <w:tcW w:w="198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项目（按功能分类）</w:t>
            </w:r>
          </w:p>
        </w:tc>
        <w:tc>
          <w:tcPr>
            <w:tcW w:w="1061" w:type="dxa"/>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合计</w:t>
            </w:r>
          </w:p>
        </w:tc>
        <w:tc>
          <w:tcPr>
            <w:tcW w:w="1005" w:type="dxa"/>
            <w:gridSpan w:val="3"/>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一般公共预算财政拨款</w:t>
            </w:r>
          </w:p>
        </w:tc>
        <w:tc>
          <w:tcPr>
            <w:tcW w:w="627"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政府性基金预算财政拨款</w:t>
            </w:r>
          </w:p>
        </w:tc>
        <w:tc>
          <w:tcPr>
            <w:tcW w:w="993" w:type="dxa"/>
            <w:tcBorders>
              <w:top w:val="single" w:color="auto" w:sz="4" w:space="0"/>
              <w:left w:val="single" w:color="auto" w:sz="4" w:space="0"/>
              <w:bottom w:val="single" w:color="auto" w:sz="4" w:space="0"/>
              <w:right w:val="single" w:color="auto" w:sz="4" w:space="0"/>
            </w:tcBorders>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国有资本经营预算财政拨款</w:t>
            </w:r>
          </w:p>
        </w:tc>
      </w:tr>
      <w:tr>
        <w:tblPrEx>
          <w:tblCellMar>
            <w:top w:w="0" w:type="dxa"/>
            <w:left w:w="108" w:type="dxa"/>
            <w:bottom w:w="0" w:type="dxa"/>
            <w:right w:w="108" w:type="dxa"/>
          </w:tblCellMar>
        </w:tblPrEx>
        <w:trPr>
          <w:gridAfter w:val="1"/>
          <w:wAfter w:w="439" w:type="dxa"/>
          <w:trHeight w:val="390" w:hRule="atLeast"/>
        </w:trPr>
        <w:tc>
          <w:tcPr>
            <w:tcW w:w="2196" w:type="dxa"/>
            <w:tcBorders>
              <w:top w:val="nil"/>
              <w:left w:val="single" w:color="000000" w:sz="8" w:space="0"/>
              <w:bottom w:val="single" w:color="000000" w:sz="4" w:space="0"/>
              <w:right w:val="single" w:color="000000" w:sz="4" w:space="0"/>
            </w:tcBorders>
            <w:shd w:val="clear" w:color="auto" w:fill="auto"/>
          </w:tcPr>
          <w:p>
            <w:pPr>
              <w:rPr>
                <w:rFonts w:cs="Arial"/>
                <w:color w:val="000000"/>
                <w:sz w:val="22"/>
                <w:highlight w:val="none"/>
              </w:rPr>
            </w:pPr>
            <w:r>
              <w:rPr>
                <w:rFonts w:hint="eastAsia" w:cs="Arial"/>
                <w:color w:val="000000"/>
                <w:sz w:val="22"/>
                <w:highlight w:val="none"/>
              </w:rPr>
              <w:t>一、一般公共预算财政拨款</w:t>
            </w:r>
          </w:p>
        </w:tc>
        <w:tc>
          <w:tcPr>
            <w:tcW w:w="1077" w:type="dxa"/>
            <w:gridSpan w:val="2"/>
            <w:tcBorders>
              <w:top w:val="nil"/>
              <w:left w:val="nil"/>
              <w:bottom w:val="single" w:color="000000" w:sz="4" w:space="0"/>
              <w:right w:val="nil"/>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993.37</w:t>
            </w:r>
            <w:r>
              <w:rPr>
                <w:rFonts w:hint="eastAsia" w:ascii="宋体" w:hAnsi="宋体" w:eastAsia="宋体" w:cs="Arial"/>
                <w:color w:val="000000"/>
                <w:kern w:val="0"/>
                <w:sz w:val="22"/>
                <w:highlight w:val="none"/>
              </w:rPr>
              <w:t>　</w:t>
            </w:r>
          </w:p>
        </w:tc>
        <w:tc>
          <w:tcPr>
            <w:tcW w:w="19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一、一般公共服务支出</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single" w:color="auto" w:sz="4" w:space="0"/>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single" w:color="auto" w:sz="4" w:space="0"/>
              <w:left w:val="nil"/>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nil"/>
              <w:left w:val="single" w:color="000000" w:sz="8" w:space="0"/>
              <w:bottom w:val="single" w:color="000000" w:sz="4" w:space="0"/>
              <w:right w:val="single" w:color="000000" w:sz="4" w:space="0"/>
            </w:tcBorders>
            <w:shd w:val="clear" w:color="auto" w:fill="auto"/>
          </w:tcPr>
          <w:p>
            <w:pPr>
              <w:rPr>
                <w:rFonts w:cs="Arial"/>
                <w:color w:val="000000"/>
                <w:sz w:val="22"/>
                <w:highlight w:val="none"/>
              </w:rPr>
            </w:pPr>
            <w:r>
              <w:rPr>
                <w:rFonts w:hint="eastAsia" w:cs="Arial"/>
                <w:color w:val="000000"/>
                <w:sz w:val="22"/>
                <w:highlight w:val="none"/>
              </w:rPr>
              <w:t>二、政府性基金预算财政拨款</w:t>
            </w:r>
          </w:p>
        </w:tc>
        <w:tc>
          <w:tcPr>
            <w:tcW w:w="1077" w:type="dxa"/>
            <w:gridSpan w:val="2"/>
            <w:tcBorders>
              <w:top w:val="nil"/>
              <w:left w:val="nil"/>
              <w:bottom w:val="single" w:color="000000" w:sz="4" w:space="0"/>
              <w:right w:val="nil"/>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二、外交支出</w:t>
            </w:r>
          </w:p>
        </w:tc>
        <w:tc>
          <w:tcPr>
            <w:tcW w:w="1061"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nil"/>
              <w:left w:val="nil"/>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nil"/>
              <w:left w:val="single" w:color="000000" w:sz="8" w:space="0"/>
              <w:bottom w:val="single" w:color="000000" w:sz="4" w:space="0"/>
              <w:right w:val="single" w:color="000000" w:sz="4" w:space="0"/>
            </w:tcBorders>
            <w:shd w:val="clear" w:color="auto" w:fill="auto"/>
          </w:tcPr>
          <w:p>
            <w:pPr>
              <w:rPr>
                <w:rFonts w:cs="Arial"/>
                <w:color w:val="000000"/>
                <w:sz w:val="22"/>
                <w:highlight w:val="none"/>
              </w:rPr>
            </w:pPr>
            <w:r>
              <w:rPr>
                <w:rFonts w:hint="eastAsia" w:cs="Arial"/>
                <w:color w:val="000000"/>
                <w:sz w:val="22"/>
                <w:highlight w:val="none"/>
              </w:rPr>
              <w:t>三、国有资本经营预算财政拨款</w:t>
            </w:r>
          </w:p>
        </w:tc>
        <w:tc>
          <w:tcPr>
            <w:tcW w:w="1077" w:type="dxa"/>
            <w:gridSpan w:val="2"/>
            <w:tcBorders>
              <w:top w:val="nil"/>
              <w:left w:val="nil"/>
              <w:bottom w:val="single" w:color="000000" w:sz="4" w:space="0"/>
              <w:right w:val="nil"/>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三、国防支出</w:t>
            </w:r>
          </w:p>
        </w:tc>
        <w:tc>
          <w:tcPr>
            <w:tcW w:w="1061"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nil"/>
              <w:left w:val="nil"/>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77" w:type="dxa"/>
            <w:gridSpan w:val="2"/>
            <w:tcBorders>
              <w:top w:val="nil"/>
              <w:left w:val="nil"/>
              <w:bottom w:val="single" w:color="000000" w:sz="4" w:space="0"/>
              <w:right w:val="nil"/>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四、公共安全支出</w:t>
            </w:r>
          </w:p>
        </w:tc>
        <w:tc>
          <w:tcPr>
            <w:tcW w:w="1061"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nil"/>
              <w:left w:val="nil"/>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77" w:type="dxa"/>
            <w:gridSpan w:val="2"/>
            <w:tcBorders>
              <w:top w:val="nil"/>
              <w:left w:val="nil"/>
              <w:bottom w:val="single" w:color="000000" w:sz="4" w:space="0"/>
              <w:right w:val="nil"/>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五、教育支出</w:t>
            </w:r>
          </w:p>
        </w:tc>
        <w:tc>
          <w:tcPr>
            <w:tcW w:w="1061"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1094.29</w:t>
            </w:r>
          </w:p>
        </w:tc>
        <w:tc>
          <w:tcPr>
            <w:tcW w:w="1005" w:type="dxa"/>
            <w:gridSpan w:val="3"/>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1094.29</w:t>
            </w:r>
            <w:r>
              <w:rPr>
                <w:rFonts w:hint="eastAsia" w:ascii="宋体" w:hAnsi="宋体" w:eastAsia="宋体" w:cs="Arial"/>
                <w:color w:val="000000"/>
                <w:kern w:val="0"/>
                <w:sz w:val="22"/>
                <w:highlight w:val="none"/>
              </w:rPr>
              <w:t>　</w:t>
            </w:r>
          </w:p>
        </w:tc>
        <w:tc>
          <w:tcPr>
            <w:tcW w:w="627"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nil"/>
              <w:left w:val="nil"/>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77" w:type="dxa"/>
            <w:gridSpan w:val="2"/>
            <w:tcBorders>
              <w:top w:val="nil"/>
              <w:left w:val="nil"/>
              <w:bottom w:val="single" w:color="000000" w:sz="4" w:space="0"/>
              <w:right w:val="nil"/>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六、科学技术支出</w:t>
            </w:r>
          </w:p>
        </w:tc>
        <w:tc>
          <w:tcPr>
            <w:tcW w:w="1061"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nil"/>
              <w:left w:val="nil"/>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77" w:type="dxa"/>
            <w:gridSpan w:val="2"/>
            <w:tcBorders>
              <w:top w:val="nil"/>
              <w:left w:val="nil"/>
              <w:bottom w:val="single" w:color="000000" w:sz="4" w:space="0"/>
              <w:right w:val="nil"/>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七、文化旅游体育与传媒支出</w:t>
            </w:r>
          </w:p>
        </w:tc>
        <w:tc>
          <w:tcPr>
            <w:tcW w:w="1061"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nil"/>
              <w:left w:val="nil"/>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77" w:type="dxa"/>
            <w:gridSpan w:val="2"/>
            <w:tcBorders>
              <w:top w:val="nil"/>
              <w:left w:val="nil"/>
              <w:bottom w:val="single" w:color="000000" w:sz="4" w:space="0"/>
              <w:right w:val="nil"/>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八、社会保障和就业支出</w:t>
            </w:r>
          </w:p>
        </w:tc>
        <w:tc>
          <w:tcPr>
            <w:tcW w:w="1061"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rPr>
              <w:t>　</w:t>
            </w:r>
            <w:r>
              <w:rPr>
                <w:rFonts w:hint="eastAsia" w:ascii="宋体" w:hAnsi="宋体" w:eastAsia="宋体" w:cs="Arial"/>
                <w:color w:val="000000"/>
                <w:kern w:val="0"/>
                <w:sz w:val="22"/>
                <w:highlight w:val="none"/>
                <w:lang w:val="en-US" w:eastAsia="zh-CN"/>
              </w:rPr>
              <w:t>4.89</w:t>
            </w:r>
          </w:p>
        </w:tc>
        <w:tc>
          <w:tcPr>
            <w:tcW w:w="1005" w:type="dxa"/>
            <w:gridSpan w:val="3"/>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4.89</w:t>
            </w:r>
            <w:r>
              <w:rPr>
                <w:rFonts w:hint="eastAsia" w:ascii="宋体" w:hAnsi="宋体" w:eastAsia="宋体" w:cs="Arial"/>
                <w:color w:val="000000"/>
                <w:kern w:val="0"/>
                <w:sz w:val="22"/>
                <w:highlight w:val="none"/>
              </w:rPr>
              <w:t>　</w:t>
            </w:r>
          </w:p>
        </w:tc>
        <w:tc>
          <w:tcPr>
            <w:tcW w:w="627"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nil"/>
              <w:left w:val="nil"/>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77" w:type="dxa"/>
            <w:gridSpan w:val="2"/>
            <w:tcBorders>
              <w:top w:val="nil"/>
              <w:left w:val="nil"/>
              <w:bottom w:val="single" w:color="000000" w:sz="4" w:space="0"/>
              <w:right w:val="nil"/>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九、卫生健康支出</w:t>
            </w:r>
          </w:p>
        </w:tc>
        <w:tc>
          <w:tcPr>
            <w:tcW w:w="1061"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nil"/>
              <w:left w:val="nil"/>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77" w:type="dxa"/>
            <w:gridSpan w:val="2"/>
            <w:tcBorders>
              <w:top w:val="nil"/>
              <w:left w:val="nil"/>
              <w:bottom w:val="single" w:color="000000" w:sz="4" w:space="0"/>
              <w:right w:val="nil"/>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十、节能环保支出</w:t>
            </w:r>
          </w:p>
        </w:tc>
        <w:tc>
          <w:tcPr>
            <w:tcW w:w="1061"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nil"/>
              <w:left w:val="nil"/>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77" w:type="dxa"/>
            <w:gridSpan w:val="2"/>
            <w:tcBorders>
              <w:top w:val="nil"/>
              <w:left w:val="nil"/>
              <w:bottom w:val="single" w:color="000000" w:sz="4" w:space="0"/>
              <w:right w:val="nil"/>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十一、城乡社区支出</w:t>
            </w:r>
          </w:p>
        </w:tc>
        <w:tc>
          <w:tcPr>
            <w:tcW w:w="1061"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nil"/>
              <w:left w:val="nil"/>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77" w:type="dxa"/>
            <w:gridSpan w:val="2"/>
            <w:tcBorders>
              <w:top w:val="nil"/>
              <w:left w:val="nil"/>
              <w:bottom w:val="single" w:color="000000" w:sz="4" w:space="0"/>
              <w:right w:val="nil"/>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十二、农林水支出</w:t>
            </w:r>
          </w:p>
        </w:tc>
        <w:tc>
          <w:tcPr>
            <w:tcW w:w="1061"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nil"/>
              <w:left w:val="nil"/>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77" w:type="dxa"/>
            <w:gridSpan w:val="2"/>
            <w:tcBorders>
              <w:top w:val="nil"/>
              <w:left w:val="nil"/>
              <w:bottom w:val="single" w:color="000000" w:sz="4" w:space="0"/>
              <w:right w:val="nil"/>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十三、交通运输支出</w:t>
            </w:r>
          </w:p>
        </w:tc>
        <w:tc>
          <w:tcPr>
            <w:tcW w:w="1061"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nil"/>
              <w:left w:val="nil"/>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nil"/>
              <w:left w:val="single" w:color="000000" w:sz="8" w:space="0"/>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77" w:type="dxa"/>
            <w:gridSpan w:val="2"/>
            <w:tcBorders>
              <w:top w:val="nil"/>
              <w:left w:val="nil"/>
              <w:bottom w:val="single" w:color="auto" w:sz="4" w:space="0"/>
              <w:right w:val="nil"/>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十四、资源勘探信息等支出</w:t>
            </w:r>
          </w:p>
        </w:tc>
        <w:tc>
          <w:tcPr>
            <w:tcW w:w="1061"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nil"/>
              <w:left w:val="nil"/>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十五、商业服务业等支出</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77" w:type="dxa"/>
            <w:gridSpan w:val="2"/>
            <w:tcBorders>
              <w:top w:val="single" w:color="auto" w:sz="4" w:space="0"/>
              <w:left w:val="nil"/>
              <w:bottom w:val="single" w:color="000000" w:sz="4" w:space="0"/>
              <w:right w:val="nil"/>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十六、金融支出</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single" w:color="auto" w:sz="4" w:space="0"/>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single" w:color="auto" w:sz="4" w:space="0"/>
              <w:left w:val="nil"/>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nil"/>
              <w:left w:val="single" w:color="000000" w:sz="8" w:space="0"/>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77" w:type="dxa"/>
            <w:gridSpan w:val="2"/>
            <w:tcBorders>
              <w:top w:val="nil"/>
              <w:left w:val="nil"/>
              <w:bottom w:val="single" w:color="auto" w:sz="4" w:space="0"/>
              <w:right w:val="nil"/>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十七、援助其他地区支出</w:t>
            </w:r>
          </w:p>
        </w:tc>
        <w:tc>
          <w:tcPr>
            <w:tcW w:w="1061"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nil"/>
              <w:left w:val="nil"/>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十八、自然资源海洋气象等支出</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77" w:type="dxa"/>
            <w:gridSpan w:val="2"/>
            <w:tcBorders>
              <w:top w:val="single" w:color="auto" w:sz="4" w:space="0"/>
              <w:left w:val="nil"/>
              <w:bottom w:val="single" w:color="000000" w:sz="4" w:space="0"/>
              <w:right w:val="nil"/>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十九、住房保障支出</w:t>
            </w:r>
          </w:p>
        </w:tc>
        <w:tc>
          <w:tcPr>
            <w:tcW w:w="106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single" w:color="auto" w:sz="4" w:space="0"/>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single" w:color="auto" w:sz="4" w:space="0"/>
              <w:left w:val="nil"/>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77" w:type="dxa"/>
            <w:gridSpan w:val="2"/>
            <w:tcBorders>
              <w:top w:val="nil"/>
              <w:left w:val="nil"/>
              <w:bottom w:val="single" w:color="000000" w:sz="4" w:space="0"/>
              <w:right w:val="nil"/>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二十、粮油物资储备支出</w:t>
            </w:r>
          </w:p>
        </w:tc>
        <w:tc>
          <w:tcPr>
            <w:tcW w:w="1061"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nil"/>
              <w:left w:val="nil"/>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p>
        </w:tc>
        <w:tc>
          <w:tcPr>
            <w:tcW w:w="1077" w:type="dxa"/>
            <w:gridSpan w:val="2"/>
            <w:tcBorders>
              <w:top w:val="nil"/>
              <w:left w:val="nil"/>
              <w:bottom w:val="single" w:color="000000" w:sz="4" w:space="0"/>
              <w:right w:val="nil"/>
            </w:tcBorders>
            <w:shd w:val="clear" w:color="auto" w:fill="auto"/>
            <w:vAlign w:val="center"/>
          </w:tcPr>
          <w:p>
            <w:pPr>
              <w:widowControl/>
              <w:spacing w:line="240" w:lineRule="auto"/>
              <w:jc w:val="right"/>
              <w:rPr>
                <w:rFonts w:ascii="宋体" w:hAnsi="宋体" w:eastAsia="宋体" w:cs="Arial"/>
                <w:color w:val="000000"/>
                <w:kern w:val="0"/>
                <w:sz w:val="22"/>
                <w:highlight w:val="none"/>
              </w:rPr>
            </w:pPr>
          </w:p>
        </w:tc>
        <w:tc>
          <w:tcPr>
            <w:tcW w:w="1987" w:type="dxa"/>
            <w:tcBorders>
              <w:top w:val="nil"/>
              <w:left w:val="single" w:color="auto" w:sz="4" w:space="0"/>
              <w:bottom w:val="single" w:color="auto" w:sz="4" w:space="0"/>
              <w:right w:val="single" w:color="auto" w:sz="4" w:space="0"/>
            </w:tcBorders>
            <w:shd w:val="clear" w:color="auto" w:fill="auto"/>
            <w:vAlign w:val="center"/>
          </w:tcPr>
          <w:p>
            <w:pPr>
              <w:rPr>
                <w:rFonts w:cs="Arial"/>
                <w:color w:val="000000"/>
                <w:sz w:val="22"/>
                <w:highlight w:val="none"/>
              </w:rPr>
            </w:pPr>
            <w:r>
              <w:rPr>
                <w:rFonts w:hint="eastAsia" w:cs="Arial"/>
                <w:color w:val="000000"/>
                <w:sz w:val="22"/>
                <w:highlight w:val="none"/>
              </w:rPr>
              <w:t>二十一、国有资本经营预算支出</w:t>
            </w:r>
          </w:p>
        </w:tc>
        <w:tc>
          <w:tcPr>
            <w:tcW w:w="1061"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p>
        </w:tc>
        <w:tc>
          <w:tcPr>
            <w:tcW w:w="1005" w:type="dxa"/>
            <w:gridSpan w:val="3"/>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p>
        </w:tc>
        <w:tc>
          <w:tcPr>
            <w:tcW w:w="627"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993" w:type="dxa"/>
            <w:tcBorders>
              <w:top w:val="nil"/>
              <w:left w:val="nil"/>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77" w:type="dxa"/>
            <w:gridSpan w:val="2"/>
            <w:tcBorders>
              <w:top w:val="nil"/>
              <w:left w:val="nil"/>
              <w:bottom w:val="single" w:color="000000" w:sz="4" w:space="0"/>
              <w:right w:val="nil"/>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二十二、灾害防治及应急管理支出</w:t>
            </w:r>
          </w:p>
        </w:tc>
        <w:tc>
          <w:tcPr>
            <w:tcW w:w="1061"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nil"/>
              <w:left w:val="nil"/>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nil"/>
              <w:left w:val="single" w:color="000000" w:sz="8" w:space="0"/>
              <w:bottom w:val="single" w:color="auto" w:sz="4" w:space="0"/>
              <w:right w:val="single" w:color="000000"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77" w:type="dxa"/>
            <w:gridSpan w:val="2"/>
            <w:tcBorders>
              <w:top w:val="nil"/>
              <w:left w:val="nil"/>
              <w:bottom w:val="single" w:color="auto" w:sz="4" w:space="0"/>
              <w:right w:val="nil"/>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二十三、其他支出</w:t>
            </w:r>
          </w:p>
        </w:tc>
        <w:tc>
          <w:tcPr>
            <w:tcW w:w="1061"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nil"/>
              <w:left w:val="nil"/>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二十四、债务还本支出</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b/>
                <w:bCs/>
                <w:color w:val="000000"/>
                <w:kern w:val="0"/>
                <w:sz w:val="22"/>
                <w:highlight w:val="none"/>
              </w:rPr>
            </w:pPr>
          </w:p>
        </w:tc>
        <w:tc>
          <w:tcPr>
            <w:tcW w:w="10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p>
        </w:tc>
        <w:tc>
          <w:tcPr>
            <w:tcW w:w="19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highlight w:val="none"/>
              </w:rPr>
            </w:pPr>
            <w:r>
              <w:rPr>
                <w:rFonts w:hint="eastAsia" w:cs="Arial"/>
                <w:color w:val="000000"/>
                <w:sz w:val="22"/>
                <w:highlight w:val="none"/>
              </w:rPr>
              <w:t>二十五、债务付息支出</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b/>
                <w:bCs/>
                <w:color w:val="000000"/>
                <w:kern w:val="0"/>
                <w:sz w:val="22"/>
                <w:highlight w:val="none"/>
              </w:rPr>
            </w:pPr>
          </w:p>
        </w:tc>
        <w:tc>
          <w:tcPr>
            <w:tcW w:w="10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993"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b/>
                <w:bCs/>
                <w:color w:val="000000"/>
                <w:kern w:val="0"/>
                <w:sz w:val="22"/>
                <w:highlight w:val="none"/>
              </w:rPr>
            </w:pPr>
          </w:p>
        </w:tc>
        <w:tc>
          <w:tcPr>
            <w:tcW w:w="10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p>
        </w:tc>
        <w:tc>
          <w:tcPr>
            <w:tcW w:w="1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b/>
                <w:bCs/>
                <w:color w:val="000000"/>
                <w:kern w:val="0"/>
                <w:sz w:val="22"/>
                <w:highlight w:val="none"/>
              </w:rPr>
            </w:pPr>
            <w:r>
              <w:rPr>
                <w:rFonts w:hint="eastAsia" w:cs="Arial"/>
                <w:color w:val="000000"/>
                <w:sz w:val="22"/>
                <w:highlight w:val="none"/>
              </w:rPr>
              <w:t>二十六、抗疫特别国债安排的支出</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b/>
                <w:bCs/>
                <w:color w:val="000000"/>
                <w:kern w:val="0"/>
                <w:sz w:val="22"/>
                <w:highlight w:val="none"/>
              </w:rPr>
            </w:pPr>
          </w:p>
        </w:tc>
        <w:tc>
          <w:tcPr>
            <w:tcW w:w="10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p>
        </w:tc>
        <w:tc>
          <w:tcPr>
            <w:tcW w:w="62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993"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b/>
                <w:bCs/>
                <w:color w:val="000000"/>
                <w:kern w:val="0"/>
                <w:sz w:val="22"/>
                <w:highlight w:val="none"/>
              </w:rPr>
            </w:pPr>
            <w:r>
              <w:rPr>
                <w:rFonts w:hint="eastAsia" w:ascii="宋体" w:hAnsi="宋体" w:eastAsia="宋体" w:cs="Arial"/>
                <w:b/>
                <w:bCs/>
                <w:color w:val="000000"/>
                <w:kern w:val="0"/>
                <w:sz w:val="22"/>
                <w:highlight w:val="none"/>
              </w:rPr>
              <w:t>本年收入合计</w:t>
            </w:r>
          </w:p>
        </w:tc>
        <w:tc>
          <w:tcPr>
            <w:tcW w:w="10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993.37</w:t>
            </w:r>
            <w:r>
              <w:rPr>
                <w:rFonts w:hint="eastAsia" w:ascii="宋体" w:hAnsi="宋体" w:eastAsia="宋体" w:cs="Arial"/>
                <w:color w:val="000000"/>
                <w:kern w:val="0"/>
                <w:sz w:val="22"/>
                <w:highlight w:val="none"/>
              </w:rPr>
              <w:t>　</w:t>
            </w:r>
          </w:p>
        </w:tc>
        <w:tc>
          <w:tcPr>
            <w:tcW w:w="1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b/>
                <w:bCs/>
                <w:color w:val="000000"/>
                <w:kern w:val="0"/>
                <w:sz w:val="22"/>
                <w:highlight w:val="none"/>
              </w:rPr>
            </w:pPr>
            <w:r>
              <w:rPr>
                <w:rFonts w:hint="eastAsia" w:ascii="宋体" w:hAnsi="宋体" w:eastAsia="宋体" w:cs="Arial"/>
                <w:b/>
                <w:bCs/>
                <w:color w:val="000000"/>
                <w:kern w:val="0"/>
                <w:sz w:val="22"/>
                <w:highlight w:val="none"/>
              </w:rPr>
              <w:t>本年支出合计</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default" w:ascii="宋体" w:hAnsi="宋体" w:eastAsia="宋体" w:cs="Arial"/>
                <w:b/>
                <w:bCs/>
                <w:color w:val="000000"/>
                <w:kern w:val="0"/>
                <w:sz w:val="22"/>
                <w:highlight w:val="none"/>
                <w:lang w:val="en-US" w:eastAsia="zh-CN"/>
              </w:rPr>
            </w:pPr>
            <w:r>
              <w:rPr>
                <w:rFonts w:hint="eastAsia" w:ascii="宋体" w:hAnsi="宋体" w:eastAsia="宋体" w:cs="Arial"/>
                <w:b/>
                <w:bCs/>
                <w:color w:val="000000"/>
                <w:kern w:val="0"/>
                <w:sz w:val="22"/>
                <w:highlight w:val="none"/>
              </w:rPr>
              <w:t>　</w:t>
            </w:r>
            <w:r>
              <w:rPr>
                <w:rFonts w:hint="eastAsia" w:ascii="宋体" w:hAnsi="宋体" w:eastAsia="宋体" w:cs="Arial"/>
                <w:b/>
                <w:bCs/>
                <w:color w:val="000000"/>
                <w:kern w:val="0"/>
                <w:sz w:val="22"/>
                <w:highlight w:val="none"/>
                <w:lang w:val="en-US" w:eastAsia="zh-CN"/>
              </w:rPr>
              <w:t>1099.18</w:t>
            </w:r>
          </w:p>
        </w:tc>
        <w:tc>
          <w:tcPr>
            <w:tcW w:w="10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1099.18</w:t>
            </w:r>
            <w:r>
              <w:rPr>
                <w:rFonts w:hint="eastAsia" w:ascii="宋体" w:hAnsi="宋体" w:eastAsia="宋体" w:cs="Arial"/>
                <w:color w:val="000000"/>
                <w:kern w:val="0"/>
                <w:sz w:val="22"/>
                <w:highlight w:val="none"/>
              </w:rPr>
              <w:t>　</w:t>
            </w:r>
          </w:p>
        </w:tc>
        <w:tc>
          <w:tcPr>
            <w:tcW w:w="62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年初财政拨款结转和结余</w:t>
            </w:r>
          </w:p>
        </w:tc>
        <w:tc>
          <w:tcPr>
            <w:tcW w:w="10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105.81</w:t>
            </w:r>
            <w:r>
              <w:rPr>
                <w:rFonts w:hint="eastAsia" w:ascii="宋体" w:hAnsi="宋体" w:eastAsia="宋体" w:cs="Arial"/>
                <w:color w:val="000000"/>
                <w:kern w:val="0"/>
                <w:sz w:val="22"/>
                <w:highlight w:val="none"/>
              </w:rPr>
              <w:t>　</w:t>
            </w:r>
          </w:p>
        </w:tc>
        <w:tc>
          <w:tcPr>
            <w:tcW w:w="1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年末财政拨款结转和结余</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220" w:firstLineChars="100"/>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一般公共预算财政拨款</w:t>
            </w:r>
          </w:p>
        </w:tc>
        <w:tc>
          <w:tcPr>
            <w:tcW w:w="10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105.81</w:t>
            </w:r>
            <w:r>
              <w:rPr>
                <w:rFonts w:hint="eastAsia" w:ascii="宋体" w:hAnsi="宋体" w:eastAsia="宋体" w:cs="Arial"/>
                <w:color w:val="000000"/>
                <w:kern w:val="0"/>
                <w:sz w:val="22"/>
                <w:highlight w:val="none"/>
              </w:rPr>
              <w:t>　</w:t>
            </w:r>
          </w:p>
        </w:tc>
        <w:tc>
          <w:tcPr>
            <w:tcW w:w="1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220" w:firstLineChars="100"/>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政府性基金预算财政拨款</w:t>
            </w:r>
          </w:p>
        </w:tc>
        <w:tc>
          <w:tcPr>
            <w:tcW w:w="10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国有资本经营预算财政拨款</w:t>
            </w:r>
          </w:p>
        </w:tc>
        <w:tc>
          <w:tcPr>
            <w:tcW w:w="10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62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gridAfter w:val="1"/>
          <w:wAfter w:w="439" w:type="dxa"/>
          <w:trHeight w:val="390" w:hRule="atLeast"/>
        </w:trPr>
        <w:tc>
          <w:tcPr>
            <w:tcW w:w="2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b/>
                <w:bCs/>
                <w:color w:val="000000"/>
                <w:kern w:val="0"/>
                <w:sz w:val="22"/>
                <w:highlight w:val="none"/>
              </w:rPr>
            </w:pPr>
            <w:r>
              <w:rPr>
                <w:rFonts w:hint="eastAsia" w:ascii="宋体" w:hAnsi="宋体" w:eastAsia="宋体" w:cs="Arial"/>
                <w:b/>
                <w:bCs/>
                <w:color w:val="000000"/>
                <w:kern w:val="0"/>
                <w:sz w:val="22"/>
                <w:highlight w:val="none"/>
              </w:rPr>
              <w:t>总计</w:t>
            </w:r>
          </w:p>
        </w:tc>
        <w:tc>
          <w:tcPr>
            <w:tcW w:w="10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1099.18</w:t>
            </w:r>
            <w:r>
              <w:rPr>
                <w:rFonts w:hint="eastAsia" w:ascii="宋体" w:hAnsi="宋体" w:eastAsia="宋体" w:cs="Arial"/>
                <w:color w:val="000000"/>
                <w:kern w:val="0"/>
                <w:sz w:val="22"/>
                <w:highlight w:val="none"/>
              </w:rPr>
              <w:t>　</w:t>
            </w:r>
          </w:p>
        </w:tc>
        <w:tc>
          <w:tcPr>
            <w:tcW w:w="1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b/>
                <w:bCs/>
                <w:color w:val="000000"/>
                <w:kern w:val="0"/>
                <w:sz w:val="22"/>
                <w:highlight w:val="none"/>
              </w:rPr>
            </w:pPr>
            <w:r>
              <w:rPr>
                <w:rFonts w:hint="eastAsia" w:ascii="宋体" w:hAnsi="宋体" w:eastAsia="宋体" w:cs="Arial"/>
                <w:b/>
                <w:bCs/>
                <w:color w:val="000000"/>
                <w:kern w:val="0"/>
                <w:sz w:val="22"/>
                <w:highlight w:val="none"/>
              </w:rPr>
              <w:t>总计</w:t>
            </w:r>
          </w:p>
        </w:tc>
        <w:tc>
          <w:tcPr>
            <w:tcW w:w="10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b/>
                <w:bCs/>
                <w:color w:val="000000"/>
                <w:kern w:val="0"/>
                <w:sz w:val="22"/>
                <w:highlight w:val="none"/>
              </w:rPr>
            </w:pPr>
            <w:r>
              <w:rPr>
                <w:rFonts w:hint="eastAsia" w:ascii="宋体" w:hAnsi="宋体" w:eastAsia="宋体" w:cs="Arial"/>
                <w:b/>
                <w:bCs/>
                <w:color w:val="000000"/>
                <w:kern w:val="0"/>
                <w:sz w:val="22"/>
                <w:highlight w:val="none"/>
                <w:lang w:val="en-US" w:eastAsia="zh-CN"/>
              </w:rPr>
              <w:t>1099.18</w:t>
            </w:r>
            <w:r>
              <w:rPr>
                <w:rFonts w:hint="eastAsia" w:ascii="宋体" w:hAnsi="宋体" w:eastAsia="宋体" w:cs="Arial"/>
                <w:b/>
                <w:bCs/>
                <w:color w:val="000000"/>
                <w:kern w:val="0"/>
                <w:sz w:val="22"/>
                <w:highlight w:val="none"/>
              </w:rPr>
              <w:t>　</w:t>
            </w:r>
          </w:p>
        </w:tc>
        <w:tc>
          <w:tcPr>
            <w:tcW w:w="10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1099.18</w:t>
            </w:r>
            <w:r>
              <w:rPr>
                <w:rFonts w:hint="eastAsia" w:ascii="宋体" w:hAnsi="宋体" w:eastAsia="宋体" w:cs="Arial"/>
                <w:color w:val="000000"/>
                <w:kern w:val="0"/>
                <w:sz w:val="22"/>
                <w:highlight w:val="none"/>
              </w:rPr>
              <w:t>　</w:t>
            </w:r>
          </w:p>
        </w:tc>
        <w:tc>
          <w:tcPr>
            <w:tcW w:w="627"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993" w:type="dxa"/>
            <w:tcBorders>
              <w:top w:val="single" w:color="auto" w:sz="4" w:space="0"/>
              <w:left w:val="single" w:color="auto" w:sz="4" w:space="0"/>
              <w:bottom w:val="single" w:color="auto" w:sz="4" w:space="0"/>
              <w:right w:val="single" w:color="auto" w:sz="4" w:space="0"/>
            </w:tcBorders>
          </w:tcPr>
          <w:p>
            <w:pPr>
              <w:widowControl/>
              <w:spacing w:line="240" w:lineRule="auto"/>
              <w:jc w:val="left"/>
              <w:rPr>
                <w:rFonts w:ascii="Arial" w:hAnsi="Arial" w:eastAsia="宋体" w:cs="Arial"/>
                <w:color w:val="000000"/>
                <w:kern w:val="0"/>
                <w:sz w:val="20"/>
                <w:szCs w:val="20"/>
                <w:highlight w:val="none"/>
              </w:rPr>
            </w:pPr>
          </w:p>
        </w:tc>
      </w:tr>
    </w:tbl>
    <w:p>
      <w:pPr>
        <w:pStyle w:val="7"/>
        <w:rPr>
          <w:rFonts w:ascii="Times New Roman" w:hAnsi="Times New Roman" w:cs="Times New Roman" w:eastAsiaTheme="minorEastAsia"/>
          <w:highlight w:val="none"/>
        </w:rPr>
      </w:pPr>
      <w:r>
        <w:rPr>
          <w:rFonts w:hint="eastAsia" w:ascii="Times New Roman" w:hAnsi="Times New Roman" w:cs="Times New Roman" w:eastAsiaTheme="minorEastAsia"/>
          <w:highlight w:val="none"/>
        </w:rPr>
        <w:t>注：本表反映单位本年度一般公共预算财政拨款、政府性基金预算财政拨款和国有资本经营预算财政拨款的总收支和年末结转结余情况。</w:t>
      </w:r>
    </w:p>
    <w:p>
      <w:pPr>
        <w:pStyle w:val="8"/>
        <w:numPr>
          <w:ilvl w:val="0"/>
          <w:numId w:val="1"/>
        </w:numPr>
        <w:ind w:firstLineChars="0"/>
        <w:jc w:val="left"/>
        <w:rPr>
          <w:rFonts w:ascii="黑体" w:hAnsi="仿宋" w:eastAsia="黑体"/>
          <w:sz w:val="32"/>
          <w:szCs w:val="32"/>
          <w:highlight w:val="none"/>
        </w:rPr>
      </w:pPr>
      <w:r>
        <w:rPr>
          <w:rFonts w:hint="eastAsia" w:ascii="黑体" w:hAnsi="仿宋" w:eastAsia="黑体"/>
          <w:sz w:val="32"/>
          <w:szCs w:val="32"/>
          <w:highlight w:val="none"/>
        </w:rPr>
        <w:t>一般公共预算财政拨款支出决算表</w:t>
      </w:r>
    </w:p>
    <w:tbl>
      <w:tblPr>
        <w:tblStyle w:val="5"/>
        <w:tblW w:w="8216" w:type="dxa"/>
        <w:jc w:val="center"/>
        <w:tblLayout w:type="fixed"/>
        <w:tblCellMar>
          <w:top w:w="0" w:type="dxa"/>
          <w:left w:w="108" w:type="dxa"/>
          <w:bottom w:w="0" w:type="dxa"/>
          <w:right w:w="108" w:type="dxa"/>
        </w:tblCellMar>
      </w:tblPr>
      <w:tblGrid>
        <w:gridCol w:w="1291"/>
        <w:gridCol w:w="389"/>
        <w:gridCol w:w="745"/>
        <w:gridCol w:w="1559"/>
        <w:gridCol w:w="1576"/>
        <w:gridCol w:w="409"/>
        <w:gridCol w:w="2208"/>
        <w:gridCol w:w="39"/>
      </w:tblGrid>
      <w:tr>
        <w:tblPrEx>
          <w:tblCellMar>
            <w:top w:w="0" w:type="dxa"/>
            <w:left w:w="108" w:type="dxa"/>
            <w:bottom w:w="0" w:type="dxa"/>
            <w:right w:w="108" w:type="dxa"/>
          </w:tblCellMar>
        </w:tblPrEx>
        <w:trPr>
          <w:gridAfter w:val="1"/>
          <w:wAfter w:w="39" w:type="dxa"/>
          <w:trHeight w:val="540" w:hRule="atLeast"/>
          <w:jc w:val="center"/>
        </w:trPr>
        <w:tc>
          <w:tcPr>
            <w:tcW w:w="8177" w:type="dxa"/>
            <w:gridSpan w:val="7"/>
            <w:tcBorders>
              <w:top w:val="nil"/>
              <w:left w:val="nil"/>
              <w:bottom w:val="nil"/>
              <w:right w:val="nil"/>
            </w:tcBorders>
            <w:shd w:val="clear" w:color="auto" w:fill="auto"/>
            <w:vAlign w:val="bottom"/>
          </w:tcPr>
          <w:p>
            <w:pPr>
              <w:widowControl/>
              <w:spacing w:line="240" w:lineRule="auto"/>
              <w:jc w:val="center"/>
              <w:rPr>
                <w:rFonts w:ascii="黑体" w:hAnsi="Arial" w:eastAsia="黑体" w:cs="Arial"/>
                <w:color w:val="000000"/>
                <w:kern w:val="0"/>
                <w:sz w:val="36"/>
                <w:szCs w:val="36"/>
                <w:highlight w:val="none"/>
              </w:rPr>
            </w:pPr>
            <w:r>
              <w:rPr>
                <w:rFonts w:hint="eastAsia" w:ascii="黑体" w:hAnsi="Arial" w:eastAsia="黑体" w:cs="Arial"/>
                <w:color w:val="000000"/>
                <w:kern w:val="0"/>
                <w:sz w:val="36"/>
                <w:szCs w:val="36"/>
                <w:highlight w:val="none"/>
              </w:rPr>
              <w:t>一般公共预算财政拨款支出决算表</w:t>
            </w:r>
          </w:p>
          <w:p>
            <w:pPr>
              <w:widowControl/>
              <w:spacing w:line="240" w:lineRule="auto"/>
              <w:jc w:val="right"/>
              <w:rPr>
                <w:rFonts w:ascii="黑体" w:hAnsi="Arial" w:eastAsia="黑体" w:cs="Arial"/>
                <w:kern w:val="0"/>
                <w:sz w:val="44"/>
                <w:szCs w:val="44"/>
                <w:highlight w:val="none"/>
              </w:rPr>
            </w:pPr>
            <w:r>
              <w:rPr>
                <w:rFonts w:hint="eastAsia" w:ascii="宋体" w:hAnsi="宋体" w:eastAsia="宋体" w:cs="Arial"/>
                <w:kern w:val="0"/>
                <w:sz w:val="20"/>
                <w:szCs w:val="20"/>
                <w:highlight w:val="none"/>
              </w:rPr>
              <w:t>公开05表</w:t>
            </w:r>
          </w:p>
        </w:tc>
      </w:tr>
      <w:tr>
        <w:tblPrEx>
          <w:tblCellMar>
            <w:top w:w="0" w:type="dxa"/>
            <w:left w:w="108" w:type="dxa"/>
            <w:bottom w:w="0" w:type="dxa"/>
            <w:right w:w="108" w:type="dxa"/>
          </w:tblCellMar>
        </w:tblPrEx>
        <w:trPr>
          <w:trHeight w:val="510" w:hRule="atLeast"/>
          <w:jc w:val="center"/>
        </w:trPr>
        <w:tc>
          <w:tcPr>
            <w:tcW w:w="1680" w:type="dxa"/>
            <w:gridSpan w:val="2"/>
            <w:tcBorders>
              <w:top w:val="nil"/>
              <w:left w:val="nil"/>
              <w:bottom w:val="nil"/>
              <w:right w:val="nil"/>
            </w:tcBorders>
            <w:shd w:val="clear" w:color="auto" w:fill="auto"/>
            <w:vAlign w:val="center"/>
          </w:tcPr>
          <w:p>
            <w:pPr>
              <w:widowControl/>
              <w:spacing w:line="240" w:lineRule="auto"/>
              <w:jc w:val="left"/>
              <w:rPr>
                <w:rFonts w:ascii="宋体" w:hAnsi="宋体" w:eastAsia="宋体" w:cs="Arial"/>
                <w:kern w:val="0"/>
                <w:sz w:val="24"/>
                <w:szCs w:val="24"/>
                <w:highlight w:val="none"/>
              </w:rPr>
            </w:pPr>
            <w:r>
              <w:rPr>
                <w:rFonts w:hint="eastAsia" w:ascii="宋体" w:hAnsi="宋体" w:eastAsia="宋体" w:cs="Arial"/>
                <w:kern w:val="0"/>
                <w:sz w:val="24"/>
                <w:szCs w:val="24"/>
                <w:highlight w:val="none"/>
              </w:rPr>
              <w:t>单位：</w:t>
            </w:r>
          </w:p>
        </w:tc>
        <w:tc>
          <w:tcPr>
            <w:tcW w:w="745" w:type="dxa"/>
            <w:tcBorders>
              <w:top w:val="nil"/>
              <w:left w:val="nil"/>
              <w:bottom w:val="nil"/>
              <w:right w:val="nil"/>
            </w:tcBorders>
            <w:shd w:val="clear" w:color="auto" w:fill="auto"/>
            <w:vAlign w:val="center"/>
          </w:tcPr>
          <w:p>
            <w:pPr>
              <w:widowControl/>
              <w:spacing w:line="240" w:lineRule="auto"/>
              <w:jc w:val="left"/>
              <w:rPr>
                <w:rFonts w:ascii="宋体" w:hAnsi="宋体" w:eastAsia="宋体" w:cs="Arial"/>
                <w:kern w:val="0"/>
                <w:sz w:val="24"/>
                <w:szCs w:val="24"/>
                <w:highlight w:val="none"/>
              </w:rPr>
            </w:pPr>
          </w:p>
        </w:tc>
        <w:tc>
          <w:tcPr>
            <w:tcW w:w="3135" w:type="dxa"/>
            <w:gridSpan w:val="2"/>
            <w:tcBorders>
              <w:top w:val="nil"/>
              <w:left w:val="nil"/>
              <w:bottom w:val="nil"/>
              <w:right w:val="nil"/>
            </w:tcBorders>
            <w:shd w:val="clear" w:color="auto" w:fill="auto"/>
            <w:vAlign w:val="center"/>
          </w:tcPr>
          <w:p>
            <w:pPr>
              <w:widowControl/>
              <w:spacing w:line="240" w:lineRule="auto"/>
              <w:jc w:val="right"/>
              <w:rPr>
                <w:rFonts w:ascii="宋体" w:hAnsi="宋体" w:eastAsia="宋体" w:cs="Arial"/>
                <w:kern w:val="0"/>
                <w:sz w:val="24"/>
                <w:szCs w:val="24"/>
                <w:highlight w:val="none"/>
              </w:rPr>
            </w:pPr>
          </w:p>
        </w:tc>
        <w:tc>
          <w:tcPr>
            <w:tcW w:w="2656" w:type="dxa"/>
            <w:gridSpan w:val="3"/>
            <w:tcBorders>
              <w:top w:val="nil"/>
              <w:left w:val="nil"/>
              <w:bottom w:val="nil"/>
              <w:right w:val="nil"/>
            </w:tcBorders>
            <w:shd w:val="clear" w:color="auto" w:fill="auto"/>
            <w:vAlign w:val="center"/>
          </w:tcPr>
          <w:p>
            <w:pPr>
              <w:widowControl/>
              <w:spacing w:line="240" w:lineRule="auto"/>
              <w:jc w:val="right"/>
              <w:rPr>
                <w:rFonts w:ascii="宋体" w:hAnsi="宋体" w:eastAsia="宋体" w:cs="Arial"/>
                <w:kern w:val="0"/>
                <w:sz w:val="20"/>
                <w:szCs w:val="20"/>
                <w:highlight w:val="none"/>
              </w:rPr>
            </w:pPr>
            <w:r>
              <w:rPr>
                <w:rFonts w:hint="eastAsia" w:ascii="宋体" w:hAnsi="宋体" w:eastAsia="宋体" w:cs="Arial"/>
                <w:kern w:val="0"/>
                <w:sz w:val="20"/>
                <w:szCs w:val="20"/>
                <w:highlight w:val="none"/>
              </w:rPr>
              <w:t>单位：万元</w:t>
            </w:r>
          </w:p>
        </w:tc>
      </w:tr>
      <w:tr>
        <w:tblPrEx>
          <w:tblCellMar>
            <w:top w:w="0" w:type="dxa"/>
            <w:left w:w="108" w:type="dxa"/>
            <w:bottom w:w="0" w:type="dxa"/>
            <w:right w:w="108" w:type="dxa"/>
          </w:tblCellMar>
        </w:tblPrEx>
        <w:trPr>
          <w:gridAfter w:val="1"/>
          <w:wAfter w:w="39" w:type="dxa"/>
          <w:trHeight w:val="510" w:hRule="atLeast"/>
          <w:jc w:val="center"/>
        </w:trPr>
        <w:tc>
          <w:tcPr>
            <w:tcW w:w="24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kern w:val="0"/>
                <w:sz w:val="24"/>
                <w:szCs w:val="24"/>
                <w:highlight w:val="none"/>
              </w:rPr>
            </w:pPr>
            <w:r>
              <w:rPr>
                <w:rFonts w:hint="eastAsia" w:ascii="宋体" w:hAnsi="宋体" w:eastAsia="宋体" w:cs="Arial"/>
                <w:kern w:val="0"/>
                <w:sz w:val="24"/>
                <w:szCs w:val="24"/>
                <w:highlight w:val="none"/>
              </w:rPr>
              <w:t>项   目</w:t>
            </w:r>
          </w:p>
        </w:tc>
        <w:tc>
          <w:tcPr>
            <w:tcW w:w="5752"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kern w:val="0"/>
                <w:sz w:val="24"/>
                <w:szCs w:val="24"/>
                <w:highlight w:val="none"/>
              </w:rPr>
            </w:pPr>
            <w:r>
              <w:rPr>
                <w:rFonts w:hint="eastAsia" w:ascii="宋体" w:hAnsi="宋体" w:eastAsia="宋体" w:cs="Arial"/>
                <w:kern w:val="0"/>
                <w:sz w:val="24"/>
                <w:szCs w:val="24"/>
                <w:highlight w:val="none"/>
              </w:rPr>
              <w:t>本年支出</w:t>
            </w:r>
          </w:p>
        </w:tc>
      </w:tr>
      <w:tr>
        <w:tblPrEx>
          <w:tblCellMar>
            <w:top w:w="0" w:type="dxa"/>
            <w:left w:w="108" w:type="dxa"/>
            <w:bottom w:w="0" w:type="dxa"/>
            <w:right w:w="108" w:type="dxa"/>
          </w:tblCellMar>
        </w:tblPrEx>
        <w:trPr>
          <w:gridAfter w:val="1"/>
          <w:wAfter w:w="39" w:type="dxa"/>
          <w:trHeight w:val="540" w:hRule="atLeast"/>
          <w:jc w:val="center"/>
        </w:trPr>
        <w:tc>
          <w:tcPr>
            <w:tcW w:w="129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功能分类科目编码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科目名称</w:t>
            </w:r>
          </w:p>
        </w:tc>
        <w:tc>
          <w:tcPr>
            <w:tcW w:w="1559"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小计</w:t>
            </w:r>
          </w:p>
        </w:tc>
        <w:tc>
          <w:tcPr>
            <w:tcW w:w="1985" w:type="dxa"/>
            <w:gridSpan w:val="2"/>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基本支出</w:t>
            </w:r>
          </w:p>
        </w:tc>
        <w:tc>
          <w:tcPr>
            <w:tcW w:w="2208"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项目支出</w:t>
            </w:r>
          </w:p>
        </w:tc>
      </w:tr>
      <w:tr>
        <w:tblPrEx>
          <w:tblCellMar>
            <w:top w:w="0" w:type="dxa"/>
            <w:left w:w="108" w:type="dxa"/>
            <w:bottom w:w="0" w:type="dxa"/>
            <w:right w:w="108" w:type="dxa"/>
          </w:tblCellMar>
        </w:tblPrEx>
        <w:trPr>
          <w:gridAfter w:val="1"/>
          <w:wAfter w:w="39" w:type="dxa"/>
          <w:trHeight w:val="435" w:hRule="atLeast"/>
          <w:jc w:val="center"/>
        </w:trPr>
        <w:tc>
          <w:tcPr>
            <w:tcW w:w="24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合计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1099.18</w:t>
            </w:r>
            <w:r>
              <w:rPr>
                <w:rFonts w:hint="eastAsia" w:ascii="宋体" w:hAnsi="宋体" w:eastAsia="宋体" w:cs="Arial"/>
                <w:color w:val="000000"/>
                <w:kern w:val="0"/>
                <w:sz w:val="22"/>
                <w:highlight w:val="none"/>
              </w:rPr>
              <w:t>　</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800.2</w:t>
            </w:r>
            <w:r>
              <w:rPr>
                <w:rFonts w:hint="eastAsia" w:ascii="宋体" w:hAnsi="宋体" w:eastAsia="宋体" w:cs="Arial"/>
                <w:color w:val="000000"/>
                <w:kern w:val="0"/>
                <w:sz w:val="22"/>
                <w:highlight w:val="none"/>
              </w:rPr>
              <w:t>　</w:t>
            </w:r>
          </w:p>
        </w:tc>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298.98</w:t>
            </w: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gridAfter w:val="1"/>
          <w:wAfter w:w="39" w:type="dxa"/>
          <w:trHeight w:val="405" w:hRule="atLeast"/>
          <w:jc w:val="center"/>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rPr>
              <w:t>　</w:t>
            </w:r>
            <w:r>
              <w:rPr>
                <w:rFonts w:hint="eastAsia" w:ascii="宋体" w:hAnsi="宋体" w:eastAsia="宋体" w:cs="Arial"/>
                <w:color w:val="000000"/>
                <w:kern w:val="0"/>
                <w:sz w:val="22"/>
                <w:highlight w:val="none"/>
                <w:lang w:val="en-US" w:eastAsia="zh-CN"/>
              </w:rPr>
              <w:t>2050701</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rPr>
              <w:t>　 特殊学校教育</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865.41</w:t>
            </w:r>
            <w:r>
              <w:rPr>
                <w:rFonts w:hint="eastAsia" w:ascii="宋体" w:hAnsi="宋体" w:eastAsia="宋体" w:cs="Arial"/>
                <w:color w:val="000000"/>
                <w:kern w:val="0"/>
                <w:sz w:val="22"/>
                <w:highlight w:val="none"/>
              </w:rPr>
              <w:t>　</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769.87</w:t>
            </w:r>
            <w:r>
              <w:rPr>
                <w:rFonts w:hint="eastAsia" w:ascii="宋体" w:hAnsi="宋体" w:eastAsia="宋体" w:cs="Arial"/>
                <w:color w:val="000000"/>
                <w:kern w:val="0"/>
                <w:sz w:val="22"/>
                <w:highlight w:val="none"/>
              </w:rPr>
              <w:t>　</w:t>
            </w:r>
          </w:p>
        </w:tc>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95.54</w:t>
            </w:r>
            <w:r>
              <w:rPr>
                <w:rFonts w:hint="eastAsia" w:ascii="宋体" w:hAnsi="宋体" w:eastAsia="宋体" w:cs="Arial"/>
                <w:color w:val="000000"/>
                <w:kern w:val="0"/>
                <w:sz w:val="22"/>
                <w:highlight w:val="none"/>
              </w:rPr>
              <w:t>　</w:t>
            </w:r>
          </w:p>
        </w:tc>
      </w:tr>
      <w:tr>
        <w:tblPrEx>
          <w:tblCellMar>
            <w:top w:w="0" w:type="dxa"/>
            <w:left w:w="108" w:type="dxa"/>
            <w:bottom w:w="0" w:type="dxa"/>
            <w:right w:w="108" w:type="dxa"/>
          </w:tblCellMar>
        </w:tblPrEx>
        <w:trPr>
          <w:gridAfter w:val="1"/>
          <w:wAfter w:w="39" w:type="dxa"/>
          <w:trHeight w:val="405" w:hRule="atLeast"/>
          <w:jc w:val="center"/>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lang w:val="en-US" w:eastAsia="zh-CN"/>
              </w:rPr>
              <w:t>2050799</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rPr>
              <w:t>其他特殊教育支出</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137.49</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137.49</w:t>
            </w:r>
          </w:p>
        </w:tc>
      </w:tr>
      <w:tr>
        <w:tblPrEx>
          <w:tblCellMar>
            <w:top w:w="0" w:type="dxa"/>
            <w:left w:w="108" w:type="dxa"/>
            <w:bottom w:w="0" w:type="dxa"/>
            <w:right w:w="108" w:type="dxa"/>
          </w:tblCellMar>
        </w:tblPrEx>
        <w:trPr>
          <w:gridAfter w:val="1"/>
          <w:wAfter w:w="39" w:type="dxa"/>
          <w:trHeight w:val="405" w:hRule="atLeast"/>
          <w:jc w:val="center"/>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lang w:val="en-US" w:eastAsia="zh-CN"/>
              </w:rPr>
              <w:t>2050999</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rPr>
              <w:t>其他教育费附加安排的支出</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58.77</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9.98</w:t>
            </w:r>
          </w:p>
        </w:tc>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48.79</w:t>
            </w:r>
          </w:p>
        </w:tc>
      </w:tr>
      <w:tr>
        <w:tblPrEx>
          <w:tblCellMar>
            <w:top w:w="0" w:type="dxa"/>
            <w:left w:w="108" w:type="dxa"/>
            <w:bottom w:w="0" w:type="dxa"/>
            <w:right w:w="108" w:type="dxa"/>
          </w:tblCellMar>
        </w:tblPrEx>
        <w:trPr>
          <w:gridAfter w:val="1"/>
          <w:wAfter w:w="39" w:type="dxa"/>
          <w:trHeight w:val="405" w:hRule="atLeast"/>
          <w:jc w:val="center"/>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lang w:val="en-US" w:eastAsia="zh-CN"/>
              </w:rPr>
              <w:t>2059999</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rPr>
              <w:t>其他教育支出</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32.62</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15.46</w:t>
            </w:r>
          </w:p>
        </w:tc>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17.16</w:t>
            </w:r>
          </w:p>
        </w:tc>
      </w:tr>
      <w:tr>
        <w:tblPrEx>
          <w:tblCellMar>
            <w:top w:w="0" w:type="dxa"/>
            <w:left w:w="108" w:type="dxa"/>
            <w:bottom w:w="0" w:type="dxa"/>
            <w:right w:w="108" w:type="dxa"/>
          </w:tblCellMar>
        </w:tblPrEx>
        <w:trPr>
          <w:gridAfter w:val="1"/>
          <w:wAfter w:w="39" w:type="dxa"/>
          <w:trHeight w:val="405" w:hRule="atLeast"/>
          <w:jc w:val="center"/>
        </w:trPr>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lang w:val="en-US" w:eastAsia="zh-CN"/>
              </w:rPr>
              <w:t>2080801</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eastAsia" w:ascii="宋体" w:hAnsi="宋体" w:eastAsia="宋体" w:cs="Arial"/>
                <w:color w:val="000000"/>
                <w:kern w:val="0"/>
                <w:sz w:val="22"/>
                <w:szCs w:val="22"/>
                <w:highlight w:val="none"/>
                <w:lang w:val="en-US" w:eastAsia="zh-CN" w:bidi="ar-SA"/>
              </w:rPr>
            </w:pPr>
            <w:r>
              <w:rPr>
                <w:rFonts w:hint="eastAsia" w:ascii="宋体" w:hAnsi="宋体" w:eastAsia="宋体" w:cs="Arial"/>
                <w:color w:val="000000"/>
                <w:kern w:val="0"/>
                <w:sz w:val="22"/>
                <w:highlight w:val="none"/>
              </w:rPr>
              <w:t>死亡抚恤</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4.89</w:t>
            </w:r>
          </w:p>
        </w:tc>
        <w:tc>
          <w:tcPr>
            <w:tcW w:w="19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default" w:ascii="宋体" w:hAnsi="宋体" w:eastAsia="宋体" w:cs="Arial"/>
                <w:color w:val="000000"/>
                <w:kern w:val="0"/>
                <w:sz w:val="22"/>
                <w:highlight w:val="none"/>
                <w:lang w:val="en-US" w:eastAsia="zh-CN"/>
              </w:rPr>
            </w:pPr>
            <w:r>
              <w:rPr>
                <w:rFonts w:hint="eastAsia" w:ascii="宋体" w:hAnsi="宋体" w:eastAsia="宋体" w:cs="Arial"/>
                <w:color w:val="000000"/>
                <w:kern w:val="0"/>
                <w:sz w:val="22"/>
                <w:highlight w:val="none"/>
                <w:lang w:val="en-US" w:eastAsia="zh-CN"/>
              </w:rPr>
              <w:t>4.89</w:t>
            </w:r>
          </w:p>
        </w:tc>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hint="eastAsia" w:ascii="宋体" w:hAnsi="宋体" w:eastAsia="宋体" w:cs="Arial"/>
                <w:color w:val="000000"/>
                <w:kern w:val="0"/>
                <w:sz w:val="22"/>
                <w:highlight w:val="none"/>
              </w:rPr>
            </w:pPr>
          </w:p>
        </w:tc>
      </w:tr>
    </w:tbl>
    <w:p>
      <w:pPr>
        <w:pStyle w:val="7"/>
        <w:rPr>
          <w:rFonts w:ascii="Times New Roman" w:hAnsi="Times New Roman" w:cs="Times New Roman" w:eastAsiaTheme="minorEastAsia"/>
          <w:highlight w:val="none"/>
        </w:rPr>
      </w:pPr>
      <w:r>
        <w:rPr>
          <w:rFonts w:hint="eastAsia" w:ascii="Times New Roman" w:hAnsi="Times New Roman" w:cs="Times New Roman" w:eastAsiaTheme="minorEastAsia"/>
          <w:highlight w:val="none"/>
        </w:rPr>
        <w:t>注：本表反映单位本年度一般公共预算财政拨款支出情况。</w:t>
      </w:r>
    </w:p>
    <w:p>
      <w:pPr>
        <w:pStyle w:val="8"/>
        <w:numPr>
          <w:ilvl w:val="0"/>
          <w:numId w:val="1"/>
        </w:numPr>
        <w:ind w:firstLineChars="0"/>
        <w:jc w:val="left"/>
        <w:rPr>
          <w:rFonts w:ascii="黑体" w:hAnsi="仿宋" w:eastAsia="黑体"/>
          <w:sz w:val="32"/>
          <w:szCs w:val="32"/>
          <w:highlight w:val="none"/>
        </w:rPr>
      </w:pPr>
      <w:r>
        <w:rPr>
          <w:rFonts w:hint="eastAsia" w:ascii="黑体" w:hAnsi="仿宋" w:eastAsia="黑体"/>
          <w:sz w:val="32"/>
          <w:szCs w:val="32"/>
          <w:highlight w:val="none"/>
        </w:rPr>
        <w:t xml:space="preserve">一般公共预算财政拨款基本支出决算表 </w:t>
      </w:r>
    </w:p>
    <w:tbl>
      <w:tblPr>
        <w:tblStyle w:val="5"/>
        <w:tblW w:w="9942" w:type="dxa"/>
        <w:tblInd w:w="-318" w:type="dxa"/>
        <w:tblLayout w:type="fixed"/>
        <w:tblCellMar>
          <w:top w:w="0" w:type="dxa"/>
          <w:left w:w="108" w:type="dxa"/>
          <w:bottom w:w="0" w:type="dxa"/>
          <w:right w:w="108" w:type="dxa"/>
        </w:tblCellMar>
      </w:tblPr>
      <w:tblGrid>
        <w:gridCol w:w="749"/>
        <w:gridCol w:w="1348"/>
        <w:gridCol w:w="1033"/>
        <w:gridCol w:w="200"/>
        <w:gridCol w:w="241"/>
        <w:gridCol w:w="308"/>
        <w:gridCol w:w="617"/>
        <w:gridCol w:w="841"/>
        <w:gridCol w:w="942"/>
        <w:gridCol w:w="501"/>
        <w:gridCol w:w="248"/>
        <w:gridCol w:w="495"/>
        <w:gridCol w:w="1294"/>
        <w:gridCol w:w="1125"/>
      </w:tblGrid>
      <w:tr>
        <w:tblPrEx>
          <w:tblCellMar>
            <w:top w:w="0" w:type="dxa"/>
            <w:left w:w="108" w:type="dxa"/>
            <w:bottom w:w="0" w:type="dxa"/>
            <w:right w:w="108" w:type="dxa"/>
          </w:tblCellMar>
        </w:tblPrEx>
        <w:trPr>
          <w:trHeight w:val="440" w:hRule="atLeast"/>
        </w:trPr>
        <w:tc>
          <w:tcPr>
            <w:tcW w:w="9942" w:type="dxa"/>
            <w:gridSpan w:val="14"/>
            <w:tcBorders>
              <w:top w:val="nil"/>
              <w:left w:val="nil"/>
              <w:bottom w:val="nil"/>
              <w:right w:val="nil"/>
            </w:tcBorders>
            <w:shd w:val="clear" w:color="auto" w:fill="auto"/>
            <w:vAlign w:val="center"/>
          </w:tcPr>
          <w:p>
            <w:pPr>
              <w:widowControl/>
              <w:spacing w:line="240" w:lineRule="auto"/>
              <w:jc w:val="center"/>
              <w:rPr>
                <w:rFonts w:ascii="黑体" w:hAnsi="Arial" w:eastAsia="黑体" w:cs="Arial"/>
                <w:color w:val="000000"/>
                <w:kern w:val="0"/>
                <w:sz w:val="44"/>
                <w:szCs w:val="44"/>
                <w:highlight w:val="none"/>
              </w:rPr>
            </w:pPr>
            <w:r>
              <w:rPr>
                <w:rFonts w:hint="eastAsia" w:ascii="黑体" w:hAnsi="Arial" w:eastAsia="黑体" w:cs="Arial"/>
                <w:color w:val="000000"/>
                <w:kern w:val="0"/>
                <w:sz w:val="36"/>
                <w:szCs w:val="36"/>
                <w:highlight w:val="none"/>
              </w:rPr>
              <w:t>一般公共预算财政拨款基本支出决算表</w:t>
            </w:r>
          </w:p>
        </w:tc>
      </w:tr>
      <w:tr>
        <w:tblPrEx>
          <w:tblCellMar>
            <w:top w:w="0" w:type="dxa"/>
            <w:left w:w="108" w:type="dxa"/>
            <w:bottom w:w="0" w:type="dxa"/>
            <w:right w:w="108" w:type="dxa"/>
          </w:tblCellMar>
        </w:tblPrEx>
        <w:trPr>
          <w:trHeight w:val="416" w:hRule="atLeast"/>
        </w:trPr>
        <w:tc>
          <w:tcPr>
            <w:tcW w:w="3330" w:type="dxa"/>
            <w:gridSpan w:val="4"/>
            <w:tcBorders>
              <w:top w:val="nil"/>
              <w:left w:val="nil"/>
              <w:bottom w:val="nil"/>
              <w:right w:val="nil"/>
            </w:tcBorders>
            <w:shd w:val="clear" w:color="auto" w:fill="auto"/>
            <w:vAlign w:val="center"/>
          </w:tcPr>
          <w:p>
            <w:pPr>
              <w:widowControl/>
              <w:spacing w:line="240" w:lineRule="auto"/>
              <w:jc w:val="left"/>
              <w:rPr>
                <w:rFonts w:ascii="宋体" w:hAnsi="宋体" w:eastAsia="宋体" w:cs="Arial"/>
                <w:color w:val="000000"/>
                <w:kern w:val="0"/>
                <w:sz w:val="22"/>
                <w:highlight w:val="none"/>
              </w:rPr>
            </w:pPr>
          </w:p>
        </w:tc>
        <w:tc>
          <w:tcPr>
            <w:tcW w:w="241"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925" w:type="dxa"/>
            <w:gridSpan w:val="2"/>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1783" w:type="dxa"/>
            <w:gridSpan w:val="2"/>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501"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743" w:type="dxa"/>
            <w:gridSpan w:val="2"/>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2419" w:type="dxa"/>
            <w:gridSpan w:val="2"/>
            <w:tcBorders>
              <w:top w:val="nil"/>
              <w:left w:val="nil"/>
              <w:bottom w:val="nil"/>
              <w:right w:val="nil"/>
            </w:tcBorders>
            <w:shd w:val="clear" w:color="auto" w:fill="auto"/>
            <w:vAlign w:val="bottom"/>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公开06表</w:t>
            </w:r>
          </w:p>
        </w:tc>
      </w:tr>
      <w:tr>
        <w:tblPrEx>
          <w:tblCellMar>
            <w:top w:w="0" w:type="dxa"/>
            <w:left w:w="108" w:type="dxa"/>
            <w:bottom w:w="0" w:type="dxa"/>
            <w:right w:w="108" w:type="dxa"/>
          </w:tblCellMar>
        </w:tblPrEx>
        <w:trPr>
          <w:trHeight w:val="416" w:hRule="atLeast"/>
        </w:trPr>
        <w:tc>
          <w:tcPr>
            <w:tcW w:w="3330" w:type="dxa"/>
            <w:gridSpan w:val="4"/>
            <w:tcBorders>
              <w:top w:val="nil"/>
              <w:left w:val="nil"/>
              <w:bottom w:val="nil"/>
              <w:right w:val="nil"/>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单位：</w:t>
            </w:r>
          </w:p>
        </w:tc>
        <w:tc>
          <w:tcPr>
            <w:tcW w:w="241"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925" w:type="dxa"/>
            <w:gridSpan w:val="2"/>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1783" w:type="dxa"/>
            <w:gridSpan w:val="2"/>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501"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743" w:type="dxa"/>
            <w:gridSpan w:val="2"/>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2419" w:type="dxa"/>
            <w:gridSpan w:val="2"/>
            <w:tcBorders>
              <w:top w:val="nil"/>
              <w:left w:val="nil"/>
              <w:bottom w:val="nil"/>
              <w:right w:val="nil"/>
            </w:tcBorders>
            <w:shd w:val="clear" w:color="auto" w:fill="auto"/>
            <w:vAlign w:val="bottom"/>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单位：万元</w:t>
            </w:r>
          </w:p>
        </w:tc>
      </w:tr>
      <w:tr>
        <w:tblPrEx>
          <w:tblCellMar>
            <w:top w:w="0" w:type="dxa"/>
            <w:left w:w="108" w:type="dxa"/>
            <w:bottom w:w="0" w:type="dxa"/>
            <w:right w:w="108" w:type="dxa"/>
          </w:tblCellMar>
        </w:tblPrEx>
        <w:trPr>
          <w:trHeight w:val="245" w:hRule="atLeast"/>
        </w:trPr>
        <w:tc>
          <w:tcPr>
            <w:tcW w:w="31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人员经费</w:t>
            </w:r>
          </w:p>
        </w:tc>
        <w:tc>
          <w:tcPr>
            <w:tcW w:w="6812" w:type="dxa"/>
            <w:gridSpan w:val="11"/>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公用经费</w:t>
            </w:r>
          </w:p>
        </w:tc>
      </w:tr>
      <w:tr>
        <w:tblPrEx>
          <w:tblCellMar>
            <w:top w:w="0" w:type="dxa"/>
            <w:left w:w="108" w:type="dxa"/>
            <w:bottom w:w="0" w:type="dxa"/>
            <w:right w:w="108" w:type="dxa"/>
          </w:tblCellMar>
        </w:tblPrEx>
        <w:trPr>
          <w:trHeight w:val="312" w:hRule="atLeast"/>
        </w:trPr>
        <w:tc>
          <w:tcPr>
            <w:tcW w:w="74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经济分类科目</w:t>
            </w:r>
            <w:r>
              <w:rPr>
                <w:rFonts w:hint="eastAsia" w:ascii="宋体" w:hAnsi="宋体" w:eastAsia="宋体" w:cs="Arial"/>
                <w:color w:val="000000"/>
                <w:kern w:val="0"/>
                <w:sz w:val="22"/>
                <w:highlight w:val="none"/>
              </w:rPr>
              <w:br w:type="textWrapping"/>
            </w:r>
            <w:r>
              <w:rPr>
                <w:rFonts w:hint="eastAsia" w:ascii="宋体" w:hAnsi="宋体" w:eastAsia="宋体" w:cs="Arial"/>
                <w:color w:val="000000"/>
                <w:kern w:val="0"/>
                <w:sz w:val="22"/>
                <w:highlight w:val="none"/>
              </w:rPr>
              <w:t>编码</w:t>
            </w:r>
          </w:p>
        </w:tc>
        <w:tc>
          <w:tcPr>
            <w:tcW w:w="134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科目名称</w:t>
            </w:r>
          </w:p>
        </w:tc>
        <w:tc>
          <w:tcPr>
            <w:tcW w:w="103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金额</w:t>
            </w:r>
          </w:p>
        </w:tc>
        <w:tc>
          <w:tcPr>
            <w:tcW w:w="749"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经济分类科目</w:t>
            </w:r>
            <w:r>
              <w:rPr>
                <w:rFonts w:hint="eastAsia" w:ascii="宋体" w:hAnsi="宋体" w:eastAsia="宋体" w:cs="Arial"/>
                <w:color w:val="000000"/>
                <w:kern w:val="0"/>
                <w:sz w:val="22"/>
                <w:highlight w:val="none"/>
              </w:rPr>
              <w:br w:type="textWrapping"/>
            </w:r>
            <w:r>
              <w:rPr>
                <w:rFonts w:hint="eastAsia" w:ascii="宋体" w:hAnsi="宋体" w:eastAsia="宋体" w:cs="Arial"/>
                <w:color w:val="000000"/>
                <w:kern w:val="0"/>
                <w:sz w:val="22"/>
                <w:highlight w:val="none"/>
              </w:rPr>
              <w:t>编码</w:t>
            </w:r>
          </w:p>
        </w:tc>
        <w:tc>
          <w:tcPr>
            <w:tcW w:w="145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科目名称</w:t>
            </w:r>
          </w:p>
        </w:tc>
        <w:tc>
          <w:tcPr>
            <w:tcW w:w="94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金额</w:t>
            </w:r>
          </w:p>
        </w:tc>
        <w:tc>
          <w:tcPr>
            <w:tcW w:w="74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经济分类科目</w:t>
            </w:r>
            <w:r>
              <w:rPr>
                <w:rFonts w:hint="eastAsia" w:ascii="宋体" w:hAnsi="宋体" w:eastAsia="宋体" w:cs="Arial"/>
                <w:color w:val="000000"/>
                <w:kern w:val="0"/>
                <w:sz w:val="22"/>
                <w:highlight w:val="none"/>
              </w:rPr>
              <w:br w:type="textWrapping"/>
            </w:r>
            <w:r>
              <w:rPr>
                <w:rFonts w:hint="eastAsia" w:ascii="宋体" w:hAnsi="宋体" w:eastAsia="宋体" w:cs="Arial"/>
                <w:color w:val="000000"/>
                <w:kern w:val="0"/>
                <w:sz w:val="22"/>
                <w:highlight w:val="none"/>
              </w:rPr>
              <w:t>编码</w:t>
            </w:r>
          </w:p>
        </w:tc>
        <w:tc>
          <w:tcPr>
            <w:tcW w:w="178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科目名称</w:t>
            </w:r>
          </w:p>
        </w:tc>
        <w:tc>
          <w:tcPr>
            <w:tcW w:w="11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金额</w:t>
            </w:r>
          </w:p>
        </w:tc>
      </w:tr>
      <w:tr>
        <w:tblPrEx>
          <w:tblCellMar>
            <w:top w:w="0" w:type="dxa"/>
            <w:left w:w="108" w:type="dxa"/>
            <w:bottom w:w="0" w:type="dxa"/>
            <w:right w:w="108" w:type="dxa"/>
          </w:tblCellMar>
        </w:tblPrEx>
        <w:trPr>
          <w:trHeight w:val="312" w:hRule="atLeast"/>
        </w:trPr>
        <w:tc>
          <w:tcPr>
            <w:tcW w:w="74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highlight w:val="none"/>
              </w:rPr>
            </w:pPr>
          </w:p>
        </w:tc>
        <w:tc>
          <w:tcPr>
            <w:tcW w:w="134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highlight w:val="none"/>
              </w:rPr>
            </w:pPr>
          </w:p>
        </w:tc>
        <w:tc>
          <w:tcPr>
            <w:tcW w:w="103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highlight w:val="none"/>
              </w:rPr>
            </w:pPr>
          </w:p>
        </w:tc>
        <w:tc>
          <w:tcPr>
            <w:tcW w:w="749"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highlight w:val="none"/>
              </w:rPr>
            </w:pPr>
          </w:p>
        </w:tc>
        <w:tc>
          <w:tcPr>
            <w:tcW w:w="14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highlight w:val="none"/>
              </w:rPr>
            </w:pPr>
          </w:p>
        </w:tc>
        <w:tc>
          <w:tcPr>
            <w:tcW w:w="94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highlight w:val="none"/>
              </w:rPr>
            </w:pPr>
          </w:p>
        </w:tc>
        <w:tc>
          <w:tcPr>
            <w:tcW w:w="74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highlight w:val="none"/>
              </w:rPr>
            </w:pPr>
          </w:p>
        </w:tc>
        <w:tc>
          <w:tcPr>
            <w:tcW w:w="178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highlight w:val="none"/>
              </w:rPr>
            </w:pPr>
          </w:p>
        </w:tc>
        <w:tc>
          <w:tcPr>
            <w:tcW w:w="112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highlight w:val="none"/>
              </w:rPr>
            </w:pPr>
          </w:p>
        </w:tc>
      </w:tr>
      <w:tr>
        <w:tblPrEx>
          <w:tblCellMar>
            <w:top w:w="0" w:type="dxa"/>
            <w:left w:w="108" w:type="dxa"/>
            <w:bottom w:w="0" w:type="dxa"/>
            <w:right w:w="108" w:type="dxa"/>
          </w:tblCellMar>
        </w:tblPrEx>
        <w:trPr>
          <w:trHeight w:val="312" w:hRule="atLeast"/>
        </w:trPr>
        <w:tc>
          <w:tcPr>
            <w:tcW w:w="749"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highlight w:val="none"/>
              </w:rPr>
            </w:pPr>
          </w:p>
        </w:tc>
        <w:tc>
          <w:tcPr>
            <w:tcW w:w="1348"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highlight w:val="none"/>
              </w:rPr>
            </w:pPr>
          </w:p>
        </w:tc>
        <w:tc>
          <w:tcPr>
            <w:tcW w:w="1033"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highlight w:val="none"/>
              </w:rPr>
            </w:pPr>
          </w:p>
        </w:tc>
        <w:tc>
          <w:tcPr>
            <w:tcW w:w="749" w:type="dxa"/>
            <w:gridSpan w:val="3"/>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highlight w:val="none"/>
              </w:rPr>
            </w:pPr>
          </w:p>
        </w:tc>
        <w:tc>
          <w:tcPr>
            <w:tcW w:w="1458"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highlight w:val="none"/>
              </w:rPr>
            </w:pPr>
          </w:p>
        </w:tc>
        <w:tc>
          <w:tcPr>
            <w:tcW w:w="942"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highlight w:val="none"/>
              </w:rPr>
            </w:pPr>
          </w:p>
        </w:tc>
        <w:tc>
          <w:tcPr>
            <w:tcW w:w="74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highlight w:val="none"/>
              </w:rPr>
            </w:pPr>
          </w:p>
        </w:tc>
        <w:tc>
          <w:tcPr>
            <w:tcW w:w="178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highlight w:val="none"/>
              </w:rPr>
            </w:pPr>
          </w:p>
        </w:tc>
        <w:tc>
          <w:tcPr>
            <w:tcW w:w="1125"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Arial"/>
                <w:color w:val="000000"/>
                <w:kern w:val="0"/>
                <w:sz w:val="22"/>
                <w:highlight w:val="none"/>
              </w:rPr>
            </w:pP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301</w:t>
            </w:r>
          </w:p>
        </w:tc>
        <w:tc>
          <w:tcPr>
            <w:tcW w:w="1348" w:type="dxa"/>
            <w:tcBorders>
              <w:top w:val="nil"/>
              <w:left w:val="nil"/>
              <w:bottom w:val="single" w:color="auto" w:sz="4" w:space="0"/>
              <w:right w:val="single" w:color="auto" w:sz="4" w:space="0"/>
            </w:tcBorders>
            <w:shd w:val="clear" w:color="auto" w:fill="auto"/>
          </w:tcPr>
          <w:p>
            <w:pPr>
              <w:rPr>
                <w:highlight w:val="none"/>
              </w:rPr>
            </w:pPr>
            <w:r>
              <w:rPr>
                <w:rFonts w:hint="eastAsia"/>
                <w:highlight w:val="none"/>
              </w:rPr>
              <w:t>工资福利支出</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698.47</w:t>
            </w:r>
            <w:r>
              <w:rPr>
                <w:rFonts w:hint="eastAsia" w:ascii="宋体" w:hAnsi="宋体" w:eastAsia="宋体" w:cs="Arial"/>
                <w:color w:val="000000"/>
                <w:kern w:val="0"/>
                <w:sz w:val="22"/>
                <w:highlight w:val="none"/>
              </w:rPr>
              <w:t>　</w:t>
            </w:r>
          </w:p>
        </w:tc>
        <w:tc>
          <w:tcPr>
            <w:tcW w:w="749" w:type="dxa"/>
            <w:gridSpan w:val="3"/>
            <w:tcBorders>
              <w:top w:val="nil"/>
              <w:left w:val="nil"/>
              <w:bottom w:val="single" w:color="auto" w:sz="4" w:space="0"/>
              <w:right w:val="single" w:color="auto" w:sz="4" w:space="0"/>
            </w:tcBorders>
            <w:shd w:val="clear" w:color="auto" w:fill="auto"/>
          </w:tcPr>
          <w:p>
            <w:pPr>
              <w:rPr>
                <w:highlight w:val="none"/>
              </w:rPr>
            </w:pPr>
            <w:r>
              <w:rPr>
                <w:rFonts w:hint="eastAsia"/>
                <w:highlight w:val="none"/>
              </w:rPr>
              <w:t>302</w:t>
            </w:r>
          </w:p>
        </w:tc>
        <w:tc>
          <w:tcPr>
            <w:tcW w:w="1458"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商品和服务支出</w:t>
            </w:r>
          </w:p>
        </w:tc>
        <w:tc>
          <w:tcPr>
            <w:tcW w:w="94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hint="default" w:ascii="Arial" w:hAnsi="Arial" w:eastAsia="宋体" w:cs="Arial"/>
                <w:color w:val="000000"/>
                <w:kern w:val="0"/>
                <w:sz w:val="20"/>
                <w:szCs w:val="20"/>
                <w:highlight w:val="none"/>
                <w:lang w:val="en-US" w:eastAsia="zh-CN"/>
              </w:rPr>
            </w:pPr>
            <w:r>
              <w:rPr>
                <w:rFonts w:ascii="Arial" w:hAnsi="Arial" w:eastAsia="宋体" w:cs="Arial"/>
                <w:color w:val="000000"/>
                <w:kern w:val="0"/>
                <w:sz w:val="20"/>
                <w:szCs w:val="20"/>
                <w:highlight w:val="none"/>
              </w:rPr>
              <w:t>　</w:t>
            </w:r>
            <w:r>
              <w:rPr>
                <w:rFonts w:hint="eastAsia" w:ascii="Arial" w:hAnsi="Arial" w:eastAsia="宋体" w:cs="Arial"/>
                <w:color w:val="000000"/>
                <w:kern w:val="0"/>
                <w:sz w:val="20"/>
                <w:szCs w:val="20"/>
                <w:highlight w:val="none"/>
                <w:lang w:val="en-US" w:eastAsia="zh-CN"/>
              </w:rPr>
              <w:t>117.6</w:t>
            </w:r>
          </w:p>
        </w:tc>
        <w:tc>
          <w:tcPr>
            <w:tcW w:w="74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30703</w:t>
            </w:r>
          </w:p>
        </w:tc>
        <w:tc>
          <w:tcPr>
            <w:tcW w:w="178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国内债务发行费用</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30101</w:t>
            </w:r>
          </w:p>
        </w:tc>
        <w:tc>
          <w:tcPr>
            <w:tcW w:w="1348" w:type="dxa"/>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基本工资</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230.83</w:t>
            </w:r>
            <w:r>
              <w:rPr>
                <w:rFonts w:hint="eastAsia" w:ascii="宋体" w:hAnsi="宋体" w:eastAsia="宋体" w:cs="Arial"/>
                <w:color w:val="000000"/>
                <w:kern w:val="0"/>
                <w:sz w:val="22"/>
                <w:highlight w:val="none"/>
              </w:rPr>
              <w:t>　</w:t>
            </w:r>
          </w:p>
        </w:tc>
        <w:tc>
          <w:tcPr>
            <w:tcW w:w="749" w:type="dxa"/>
            <w:gridSpan w:val="3"/>
            <w:tcBorders>
              <w:top w:val="nil"/>
              <w:left w:val="nil"/>
              <w:bottom w:val="single" w:color="auto" w:sz="4" w:space="0"/>
              <w:right w:val="single" w:color="auto" w:sz="4" w:space="0"/>
            </w:tcBorders>
            <w:shd w:val="clear" w:color="auto" w:fill="auto"/>
          </w:tcPr>
          <w:p>
            <w:pPr>
              <w:rPr>
                <w:highlight w:val="none"/>
              </w:rPr>
            </w:pPr>
            <w:r>
              <w:rPr>
                <w:rFonts w:hint="eastAsia"/>
                <w:highlight w:val="none"/>
              </w:rPr>
              <w:t>30201</w:t>
            </w:r>
          </w:p>
        </w:tc>
        <w:tc>
          <w:tcPr>
            <w:tcW w:w="1458"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办公费</w:t>
            </w:r>
          </w:p>
        </w:tc>
        <w:tc>
          <w:tcPr>
            <w:tcW w:w="94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hint="eastAsia" w:ascii="Arial" w:hAnsi="Arial" w:eastAsia="宋体" w:cs="Arial"/>
                <w:color w:val="000000"/>
                <w:kern w:val="0"/>
                <w:sz w:val="20"/>
                <w:szCs w:val="20"/>
                <w:highlight w:val="none"/>
                <w:lang w:val="en-US" w:eastAsia="zh-CN"/>
              </w:rPr>
              <w:t>5.09</w:t>
            </w:r>
            <w:r>
              <w:rPr>
                <w:rFonts w:ascii="Arial" w:hAnsi="Arial" w:eastAsia="宋体" w:cs="Arial"/>
                <w:color w:val="000000"/>
                <w:kern w:val="0"/>
                <w:sz w:val="20"/>
                <w:szCs w:val="20"/>
                <w:highlight w:val="none"/>
              </w:rPr>
              <w:t>　</w:t>
            </w:r>
          </w:p>
        </w:tc>
        <w:tc>
          <w:tcPr>
            <w:tcW w:w="74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30704</w:t>
            </w:r>
          </w:p>
        </w:tc>
        <w:tc>
          <w:tcPr>
            <w:tcW w:w="178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国外债务发行费用</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30102</w:t>
            </w:r>
          </w:p>
        </w:tc>
        <w:tc>
          <w:tcPr>
            <w:tcW w:w="1348" w:type="dxa"/>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津贴补贴</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34.62</w:t>
            </w:r>
            <w:r>
              <w:rPr>
                <w:rFonts w:hint="eastAsia" w:ascii="宋体" w:hAnsi="宋体" w:eastAsia="宋体" w:cs="Arial"/>
                <w:color w:val="000000"/>
                <w:kern w:val="0"/>
                <w:sz w:val="22"/>
                <w:highlight w:val="none"/>
              </w:rPr>
              <w:t>　</w:t>
            </w:r>
          </w:p>
        </w:tc>
        <w:tc>
          <w:tcPr>
            <w:tcW w:w="749" w:type="dxa"/>
            <w:gridSpan w:val="3"/>
            <w:tcBorders>
              <w:top w:val="nil"/>
              <w:left w:val="nil"/>
              <w:bottom w:val="single" w:color="auto" w:sz="4" w:space="0"/>
              <w:right w:val="single" w:color="auto" w:sz="4" w:space="0"/>
            </w:tcBorders>
            <w:shd w:val="clear" w:color="auto" w:fill="auto"/>
          </w:tcPr>
          <w:p>
            <w:pPr>
              <w:rPr>
                <w:highlight w:val="none"/>
              </w:rPr>
            </w:pPr>
            <w:r>
              <w:rPr>
                <w:rFonts w:hint="eastAsia"/>
                <w:highlight w:val="none"/>
              </w:rPr>
              <w:t>30202</w:t>
            </w:r>
          </w:p>
        </w:tc>
        <w:tc>
          <w:tcPr>
            <w:tcW w:w="1458"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印刷费</w:t>
            </w:r>
          </w:p>
        </w:tc>
        <w:tc>
          <w:tcPr>
            <w:tcW w:w="94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hint="eastAsia" w:ascii="Arial" w:hAnsi="Arial" w:eastAsia="宋体" w:cs="Arial"/>
                <w:color w:val="000000"/>
                <w:kern w:val="0"/>
                <w:sz w:val="20"/>
                <w:szCs w:val="20"/>
                <w:highlight w:val="none"/>
                <w:lang w:val="en-US" w:eastAsia="zh-CN"/>
              </w:rPr>
              <w:t>1.04</w:t>
            </w:r>
            <w:r>
              <w:rPr>
                <w:rFonts w:ascii="Arial" w:hAnsi="Arial" w:eastAsia="宋体" w:cs="Arial"/>
                <w:color w:val="000000"/>
                <w:kern w:val="0"/>
                <w:sz w:val="20"/>
                <w:szCs w:val="20"/>
                <w:highlight w:val="none"/>
              </w:rPr>
              <w:t>　</w:t>
            </w:r>
          </w:p>
        </w:tc>
        <w:tc>
          <w:tcPr>
            <w:tcW w:w="74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310</w:t>
            </w:r>
          </w:p>
        </w:tc>
        <w:tc>
          <w:tcPr>
            <w:tcW w:w="178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资本性支出</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hint="default" w:ascii="Arial" w:hAnsi="Arial" w:eastAsia="宋体" w:cs="Arial"/>
                <w:color w:val="000000"/>
                <w:kern w:val="0"/>
                <w:sz w:val="20"/>
                <w:szCs w:val="20"/>
                <w:highlight w:val="none"/>
                <w:lang w:val="en-US" w:eastAsia="zh-CN"/>
              </w:rPr>
            </w:pPr>
            <w:r>
              <w:rPr>
                <w:rFonts w:ascii="Arial" w:hAnsi="Arial" w:eastAsia="宋体" w:cs="Arial"/>
                <w:color w:val="000000"/>
                <w:kern w:val="0"/>
                <w:sz w:val="20"/>
                <w:szCs w:val="20"/>
                <w:highlight w:val="none"/>
              </w:rPr>
              <w:t>　</w:t>
            </w:r>
            <w:r>
              <w:rPr>
                <w:rFonts w:hint="eastAsia" w:ascii="Arial" w:hAnsi="Arial" w:eastAsia="宋体" w:cs="Arial"/>
                <w:color w:val="000000"/>
                <w:kern w:val="0"/>
                <w:sz w:val="20"/>
                <w:szCs w:val="20"/>
                <w:highlight w:val="none"/>
                <w:lang w:val="en-US" w:eastAsia="zh-CN"/>
              </w:rPr>
              <w:t>163.42</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30103</w:t>
            </w:r>
          </w:p>
        </w:tc>
        <w:tc>
          <w:tcPr>
            <w:tcW w:w="1348" w:type="dxa"/>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奖金</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749" w:type="dxa"/>
            <w:gridSpan w:val="3"/>
            <w:tcBorders>
              <w:top w:val="nil"/>
              <w:left w:val="nil"/>
              <w:bottom w:val="single" w:color="auto" w:sz="4" w:space="0"/>
              <w:right w:val="single" w:color="auto" w:sz="4" w:space="0"/>
            </w:tcBorders>
            <w:shd w:val="clear" w:color="auto" w:fill="auto"/>
          </w:tcPr>
          <w:p>
            <w:pPr>
              <w:rPr>
                <w:highlight w:val="none"/>
              </w:rPr>
            </w:pPr>
            <w:r>
              <w:rPr>
                <w:rFonts w:hint="eastAsia"/>
                <w:highlight w:val="none"/>
              </w:rPr>
              <w:t>30203</w:t>
            </w:r>
          </w:p>
        </w:tc>
        <w:tc>
          <w:tcPr>
            <w:tcW w:w="1458"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咨询费</w:t>
            </w:r>
          </w:p>
        </w:tc>
        <w:tc>
          <w:tcPr>
            <w:tcW w:w="94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74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31001</w:t>
            </w:r>
          </w:p>
        </w:tc>
        <w:tc>
          <w:tcPr>
            <w:tcW w:w="178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房屋建筑物购建</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hint="default" w:ascii="Arial" w:hAnsi="Arial" w:eastAsia="宋体" w:cs="Arial"/>
                <w:color w:val="000000"/>
                <w:kern w:val="0"/>
                <w:sz w:val="20"/>
                <w:szCs w:val="20"/>
                <w:highlight w:val="none"/>
                <w:lang w:val="en-US" w:eastAsia="zh-CN"/>
              </w:rPr>
            </w:pPr>
            <w:r>
              <w:rPr>
                <w:rFonts w:ascii="Arial" w:hAnsi="Arial" w:eastAsia="宋体" w:cs="Arial"/>
                <w:color w:val="000000"/>
                <w:kern w:val="0"/>
                <w:sz w:val="20"/>
                <w:szCs w:val="20"/>
                <w:highlight w:val="none"/>
              </w:rPr>
              <w:t>　</w:t>
            </w:r>
            <w:r>
              <w:rPr>
                <w:rFonts w:hint="eastAsia" w:ascii="Arial" w:hAnsi="Arial" w:eastAsia="宋体" w:cs="Arial"/>
                <w:color w:val="000000"/>
                <w:kern w:val="0"/>
                <w:sz w:val="20"/>
                <w:szCs w:val="20"/>
                <w:highlight w:val="none"/>
                <w:lang w:val="en-US" w:eastAsia="zh-CN"/>
              </w:rPr>
              <w:t>48.79</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30106</w:t>
            </w:r>
          </w:p>
        </w:tc>
        <w:tc>
          <w:tcPr>
            <w:tcW w:w="1348" w:type="dxa"/>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伙食补助费</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749" w:type="dxa"/>
            <w:gridSpan w:val="3"/>
            <w:tcBorders>
              <w:top w:val="nil"/>
              <w:left w:val="nil"/>
              <w:bottom w:val="single" w:color="auto" w:sz="4" w:space="0"/>
              <w:right w:val="single" w:color="auto" w:sz="4" w:space="0"/>
            </w:tcBorders>
            <w:shd w:val="clear" w:color="auto" w:fill="auto"/>
          </w:tcPr>
          <w:p>
            <w:pPr>
              <w:rPr>
                <w:highlight w:val="none"/>
              </w:rPr>
            </w:pPr>
            <w:r>
              <w:rPr>
                <w:rFonts w:hint="eastAsia"/>
                <w:highlight w:val="none"/>
              </w:rPr>
              <w:t>30204</w:t>
            </w:r>
          </w:p>
        </w:tc>
        <w:tc>
          <w:tcPr>
            <w:tcW w:w="1458"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手续费</w:t>
            </w:r>
          </w:p>
        </w:tc>
        <w:tc>
          <w:tcPr>
            <w:tcW w:w="94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74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31002</w:t>
            </w:r>
          </w:p>
        </w:tc>
        <w:tc>
          <w:tcPr>
            <w:tcW w:w="178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办公设备购置</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hint="eastAsia" w:ascii="Arial" w:hAnsi="Arial" w:eastAsia="宋体" w:cs="Arial"/>
                <w:color w:val="000000"/>
                <w:kern w:val="0"/>
                <w:sz w:val="20"/>
                <w:szCs w:val="20"/>
                <w:highlight w:val="none"/>
                <w:lang w:val="en-US" w:eastAsia="zh-CN"/>
              </w:rPr>
              <w:t>4.77</w:t>
            </w: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30107</w:t>
            </w:r>
          </w:p>
        </w:tc>
        <w:tc>
          <w:tcPr>
            <w:tcW w:w="1348" w:type="dxa"/>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绩效工资</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168.48</w:t>
            </w:r>
            <w:r>
              <w:rPr>
                <w:rFonts w:hint="eastAsia" w:ascii="宋体" w:hAnsi="宋体" w:eastAsia="宋体" w:cs="Arial"/>
                <w:color w:val="000000"/>
                <w:kern w:val="0"/>
                <w:sz w:val="22"/>
                <w:highlight w:val="none"/>
              </w:rPr>
              <w:t>　</w:t>
            </w:r>
          </w:p>
        </w:tc>
        <w:tc>
          <w:tcPr>
            <w:tcW w:w="749" w:type="dxa"/>
            <w:gridSpan w:val="3"/>
            <w:tcBorders>
              <w:top w:val="nil"/>
              <w:left w:val="nil"/>
              <w:bottom w:val="single" w:color="auto" w:sz="4" w:space="0"/>
              <w:right w:val="single" w:color="auto" w:sz="4" w:space="0"/>
            </w:tcBorders>
            <w:shd w:val="clear" w:color="auto" w:fill="auto"/>
          </w:tcPr>
          <w:p>
            <w:pPr>
              <w:rPr>
                <w:highlight w:val="none"/>
              </w:rPr>
            </w:pPr>
            <w:r>
              <w:rPr>
                <w:rFonts w:hint="eastAsia"/>
                <w:highlight w:val="none"/>
              </w:rPr>
              <w:t>30205</w:t>
            </w:r>
          </w:p>
        </w:tc>
        <w:tc>
          <w:tcPr>
            <w:tcW w:w="1458"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水费</w:t>
            </w:r>
          </w:p>
        </w:tc>
        <w:tc>
          <w:tcPr>
            <w:tcW w:w="94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hint="eastAsia" w:ascii="Arial" w:hAnsi="Arial" w:eastAsia="宋体" w:cs="Arial"/>
                <w:color w:val="000000"/>
                <w:kern w:val="0"/>
                <w:sz w:val="20"/>
                <w:szCs w:val="20"/>
                <w:highlight w:val="none"/>
                <w:lang w:val="en-US" w:eastAsia="zh-CN"/>
              </w:rPr>
              <w:t>2.06</w:t>
            </w:r>
            <w:r>
              <w:rPr>
                <w:rFonts w:ascii="Arial" w:hAnsi="Arial" w:eastAsia="宋体" w:cs="Arial"/>
                <w:color w:val="000000"/>
                <w:kern w:val="0"/>
                <w:sz w:val="20"/>
                <w:szCs w:val="20"/>
                <w:highlight w:val="none"/>
              </w:rPr>
              <w:t>　</w:t>
            </w:r>
          </w:p>
        </w:tc>
        <w:tc>
          <w:tcPr>
            <w:tcW w:w="74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31003</w:t>
            </w:r>
          </w:p>
        </w:tc>
        <w:tc>
          <w:tcPr>
            <w:tcW w:w="178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专用设备购置</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391" w:hRule="atLeast"/>
        </w:trPr>
        <w:tc>
          <w:tcPr>
            <w:tcW w:w="749" w:type="dxa"/>
            <w:tcBorders>
              <w:top w:val="nil"/>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30108</w:t>
            </w:r>
          </w:p>
        </w:tc>
        <w:tc>
          <w:tcPr>
            <w:tcW w:w="1348" w:type="dxa"/>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机关事业单位基本养老保险缴费</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65.28</w:t>
            </w:r>
            <w:r>
              <w:rPr>
                <w:rFonts w:hint="eastAsia" w:ascii="宋体" w:hAnsi="宋体" w:eastAsia="宋体" w:cs="Arial"/>
                <w:color w:val="000000"/>
                <w:kern w:val="0"/>
                <w:sz w:val="22"/>
                <w:highlight w:val="none"/>
              </w:rPr>
              <w:t>　</w:t>
            </w:r>
          </w:p>
        </w:tc>
        <w:tc>
          <w:tcPr>
            <w:tcW w:w="749" w:type="dxa"/>
            <w:gridSpan w:val="3"/>
            <w:tcBorders>
              <w:top w:val="nil"/>
              <w:left w:val="nil"/>
              <w:bottom w:val="single" w:color="auto" w:sz="4" w:space="0"/>
              <w:right w:val="single" w:color="auto" w:sz="4" w:space="0"/>
            </w:tcBorders>
            <w:shd w:val="clear" w:color="auto" w:fill="auto"/>
          </w:tcPr>
          <w:p>
            <w:pPr>
              <w:rPr>
                <w:highlight w:val="none"/>
              </w:rPr>
            </w:pPr>
            <w:r>
              <w:rPr>
                <w:rFonts w:hint="eastAsia"/>
                <w:highlight w:val="none"/>
              </w:rPr>
              <w:t>30206</w:t>
            </w:r>
          </w:p>
        </w:tc>
        <w:tc>
          <w:tcPr>
            <w:tcW w:w="1458"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电费</w:t>
            </w:r>
          </w:p>
        </w:tc>
        <w:tc>
          <w:tcPr>
            <w:tcW w:w="94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hint="default" w:ascii="Arial" w:hAnsi="Arial" w:eastAsia="宋体" w:cs="Arial"/>
                <w:color w:val="000000"/>
                <w:kern w:val="0"/>
                <w:sz w:val="20"/>
                <w:szCs w:val="20"/>
                <w:highlight w:val="none"/>
                <w:lang w:val="en-US" w:eastAsia="zh-CN"/>
              </w:rPr>
            </w:pPr>
            <w:r>
              <w:rPr>
                <w:rFonts w:ascii="Arial" w:hAnsi="Arial" w:eastAsia="宋体" w:cs="Arial"/>
                <w:color w:val="000000"/>
                <w:kern w:val="0"/>
                <w:sz w:val="20"/>
                <w:szCs w:val="20"/>
                <w:highlight w:val="none"/>
              </w:rPr>
              <w:t>　</w:t>
            </w:r>
            <w:r>
              <w:rPr>
                <w:rFonts w:hint="eastAsia" w:ascii="Arial" w:hAnsi="Arial" w:eastAsia="宋体" w:cs="Arial"/>
                <w:color w:val="000000"/>
                <w:kern w:val="0"/>
                <w:sz w:val="20"/>
                <w:szCs w:val="20"/>
                <w:highlight w:val="none"/>
                <w:lang w:val="en-US" w:eastAsia="zh-CN"/>
              </w:rPr>
              <w:t>5.43</w:t>
            </w:r>
          </w:p>
        </w:tc>
        <w:tc>
          <w:tcPr>
            <w:tcW w:w="74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31005</w:t>
            </w:r>
          </w:p>
        </w:tc>
        <w:tc>
          <w:tcPr>
            <w:tcW w:w="178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基础设施建设</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30109</w:t>
            </w:r>
          </w:p>
        </w:tc>
        <w:tc>
          <w:tcPr>
            <w:tcW w:w="1348" w:type="dxa"/>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职业年金缴费</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3.64</w:t>
            </w:r>
            <w:r>
              <w:rPr>
                <w:rFonts w:hint="eastAsia" w:ascii="宋体" w:hAnsi="宋体" w:eastAsia="宋体" w:cs="Arial"/>
                <w:color w:val="000000"/>
                <w:kern w:val="0"/>
                <w:sz w:val="22"/>
                <w:highlight w:val="none"/>
              </w:rPr>
              <w:t>　</w:t>
            </w:r>
          </w:p>
        </w:tc>
        <w:tc>
          <w:tcPr>
            <w:tcW w:w="749" w:type="dxa"/>
            <w:gridSpan w:val="3"/>
            <w:tcBorders>
              <w:top w:val="nil"/>
              <w:left w:val="nil"/>
              <w:bottom w:val="single" w:color="auto" w:sz="4" w:space="0"/>
              <w:right w:val="single" w:color="auto" w:sz="4" w:space="0"/>
            </w:tcBorders>
            <w:shd w:val="clear" w:color="auto" w:fill="auto"/>
          </w:tcPr>
          <w:p>
            <w:pPr>
              <w:rPr>
                <w:highlight w:val="none"/>
              </w:rPr>
            </w:pPr>
            <w:r>
              <w:rPr>
                <w:rFonts w:hint="eastAsia"/>
                <w:highlight w:val="none"/>
              </w:rPr>
              <w:t>30207</w:t>
            </w:r>
          </w:p>
        </w:tc>
        <w:tc>
          <w:tcPr>
            <w:tcW w:w="1458"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邮电费</w:t>
            </w:r>
          </w:p>
        </w:tc>
        <w:tc>
          <w:tcPr>
            <w:tcW w:w="94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hint="default" w:ascii="Arial" w:hAnsi="Arial" w:eastAsia="宋体" w:cs="Arial"/>
                <w:color w:val="000000"/>
                <w:kern w:val="0"/>
                <w:sz w:val="20"/>
                <w:szCs w:val="20"/>
                <w:highlight w:val="none"/>
                <w:lang w:val="en-US" w:eastAsia="zh-CN"/>
              </w:rPr>
            </w:pPr>
            <w:r>
              <w:rPr>
                <w:rFonts w:ascii="Arial" w:hAnsi="Arial" w:eastAsia="宋体" w:cs="Arial"/>
                <w:color w:val="000000"/>
                <w:kern w:val="0"/>
                <w:sz w:val="20"/>
                <w:szCs w:val="20"/>
                <w:highlight w:val="none"/>
              </w:rPr>
              <w:t>　</w:t>
            </w:r>
            <w:r>
              <w:rPr>
                <w:rFonts w:hint="eastAsia" w:ascii="Arial" w:hAnsi="Arial" w:eastAsia="宋体" w:cs="Arial"/>
                <w:color w:val="000000"/>
                <w:kern w:val="0"/>
                <w:sz w:val="20"/>
                <w:szCs w:val="20"/>
                <w:highlight w:val="none"/>
                <w:lang w:val="en-US" w:eastAsia="zh-CN"/>
              </w:rPr>
              <w:t>16.17</w:t>
            </w:r>
          </w:p>
        </w:tc>
        <w:tc>
          <w:tcPr>
            <w:tcW w:w="74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31006</w:t>
            </w:r>
          </w:p>
        </w:tc>
        <w:tc>
          <w:tcPr>
            <w:tcW w:w="178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大型修缮</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208" w:hRule="atLeast"/>
        </w:trPr>
        <w:tc>
          <w:tcPr>
            <w:tcW w:w="749" w:type="dxa"/>
            <w:tcBorders>
              <w:top w:val="nil"/>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30110</w:t>
            </w:r>
          </w:p>
        </w:tc>
        <w:tc>
          <w:tcPr>
            <w:tcW w:w="1348" w:type="dxa"/>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职工基本医疗保险缴费</w:t>
            </w:r>
          </w:p>
        </w:tc>
        <w:tc>
          <w:tcPr>
            <w:tcW w:w="1033"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hint="eastAsia" w:ascii="Arial" w:hAnsi="Arial" w:eastAsia="宋体" w:cs="Arial"/>
                <w:color w:val="000000"/>
                <w:kern w:val="0"/>
                <w:sz w:val="20"/>
                <w:szCs w:val="20"/>
                <w:highlight w:val="none"/>
                <w:lang w:val="en-US" w:eastAsia="zh-CN"/>
              </w:rPr>
              <w:t>33.03</w:t>
            </w:r>
            <w:r>
              <w:rPr>
                <w:rFonts w:ascii="Arial" w:hAnsi="Arial" w:eastAsia="宋体" w:cs="Arial"/>
                <w:color w:val="000000"/>
                <w:kern w:val="0"/>
                <w:sz w:val="20"/>
                <w:szCs w:val="20"/>
                <w:highlight w:val="none"/>
              </w:rPr>
              <w:t>　</w:t>
            </w:r>
          </w:p>
        </w:tc>
        <w:tc>
          <w:tcPr>
            <w:tcW w:w="749" w:type="dxa"/>
            <w:gridSpan w:val="3"/>
            <w:tcBorders>
              <w:top w:val="nil"/>
              <w:left w:val="nil"/>
              <w:bottom w:val="single" w:color="auto" w:sz="4" w:space="0"/>
              <w:right w:val="single" w:color="auto" w:sz="4" w:space="0"/>
            </w:tcBorders>
            <w:shd w:val="clear" w:color="auto" w:fill="auto"/>
          </w:tcPr>
          <w:p>
            <w:pPr>
              <w:rPr>
                <w:highlight w:val="none"/>
              </w:rPr>
            </w:pPr>
            <w:r>
              <w:rPr>
                <w:rFonts w:hint="eastAsia"/>
                <w:highlight w:val="none"/>
              </w:rPr>
              <w:t>30208</w:t>
            </w:r>
          </w:p>
        </w:tc>
        <w:tc>
          <w:tcPr>
            <w:tcW w:w="1458"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取暖费</w:t>
            </w:r>
          </w:p>
        </w:tc>
        <w:tc>
          <w:tcPr>
            <w:tcW w:w="94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74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31007</w:t>
            </w:r>
          </w:p>
        </w:tc>
        <w:tc>
          <w:tcPr>
            <w:tcW w:w="178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信息网络及软件购置更新</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hint="eastAsia" w:ascii="Arial" w:hAnsi="Arial" w:eastAsia="宋体" w:cs="Arial"/>
                <w:color w:val="000000"/>
                <w:kern w:val="0"/>
                <w:sz w:val="20"/>
                <w:szCs w:val="20"/>
                <w:highlight w:val="none"/>
                <w:lang w:val="en-US" w:eastAsia="zh-CN"/>
              </w:rPr>
              <w:t>106.54</w:t>
            </w: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208" w:hRule="atLeast"/>
        </w:trPr>
        <w:tc>
          <w:tcPr>
            <w:tcW w:w="749" w:type="dxa"/>
            <w:tcBorders>
              <w:top w:val="nil"/>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30111</w:t>
            </w:r>
          </w:p>
        </w:tc>
        <w:tc>
          <w:tcPr>
            <w:tcW w:w="1348" w:type="dxa"/>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公务员医疗补助缴费</w:t>
            </w:r>
          </w:p>
        </w:tc>
        <w:tc>
          <w:tcPr>
            <w:tcW w:w="1033"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hint="default" w:ascii="Arial" w:hAnsi="Arial" w:eastAsia="宋体" w:cs="Arial"/>
                <w:color w:val="000000"/>
                <w:kern w:val="0"/>
                <w:sz w:val="20"/>
                <w:szCs w:val="20"/>
                <w:highlight w:val="none"/>
                <w:lang w:val="en-US" w:eastAsia="zh-CN"/>
              </w:rPr>
            </w:pPr>
            <w:r>
              <w:rPr>
                <w:rFonts w:ascii="Arial" w:hAnsi="Arial" w:eastAsia="宋体" w:cs="Arial"/>
                <w:color w:val="000000"/>
                <w:kern w:val="0"/>
                <w:sz w:val="20"/>
                <w:szCs w:val="20"/>
                <w:highlight w:val="none"/>
              </w:rPr>
              <w:t>　</w:t>
            </w:r>
            <w:r>
              <w:rPr>
                <w:rFonts w:hint="eastAsia" w:ascii="Arial" w:hAnsi="Arial" w:eastAsia="宋体" w:cs="Arial"/>
                <w:color w:val="000000"/>
                <w:kern w:val="0"/>
                <w:sz w:val="20"/>
                <w:szCs w:val="20"/>
                <w:highlight w:val="none"/>
                <w:lang w:val="en-US" w:eastAsia="zh-CN"/>
              </w:rPr>
              <w:t>8.09</w:t>
            </w:r>
          </w:p>
        </w:tc>
        <w:tc>
          <w:tcPr>
            <w:tcW w:w="749" w:type="dxa"/>
            <w:gridSpan w:val="3"/>
            <w:tcBorders>
              <w:top w:val="nil"/>
              <w:left w:val="nil"/>
              <w:bottom w:val="single" w:color="auto" w:sz="4" w:space="0"/>
              <w:right w:val="single" w:color="auto" w:sz="4" w:space="0"/>
            </w:tcBorders>
            <w:shd w:val="clear" w:color="auto" w:fill="auto"/>
          </w:tcPr>
          <w:p>
            <w:pPr>
              <w:rPr>
                <w:highlight w:val="none"/>
              </w:rPr>
            </w:pPr>
            <w:r>
              <w:rPr>
                <w:rFonts w:hint="eastAsia"/>
                <w:highlight w:val="none"/>
              </w:rPr>
              <w:t>30209</w:t>
            </w:r>
          </w:p>
        </w:tc>
        <w:tc>
          <w:tcPr>
            <w:tcW w:w="1458"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物业管理费</w:t>
            </w:r>
          </w:p>
        </w:tc>
        <w:tc>
          <w:tcPr>
            <w:tcW w:w="94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hint="default" w:ascii="Arial" w:hAnsi="Arial" w:eastAsia="宋体" w:cs="Arial"/>
                <w:color w:val="000000"/>
                <w:kern w:val="0"/>
                <w:sz w:val="20"/>
                <w:szCs w:val="20"/>
                <w:highlight w:val="none"/>
                <w:lang w:val="en-US" w:eastAsia="zh-CN"/>
              </w:rPr>
            </w:pPr>
            <w:r>
              <w:rPr>
                <w:rFonts w:ascii="Arial" w:hAnsi="Arial" w:eastAsia="宋体" w:cs="Arial"/>
                <w:color w:val="000000"/>
                <w:kern w:val="0"/>
                <w:sz w:val="20"/>
                <w:szCs w:val="20"/>
                <w:highlight w:val="none"/>
              </w:rPr>
              <w:t>　</w:t>
            </w:r>
            <w:r>
              <w:rPr>
                <w:rFonts w:hint="eastAsia" w:ascii="Arial" w:hAnsi="Arial" w:eastAsia="宋体" w:cs="Arial"/>
                <w:color w:val="000000"/>
                <w:kern w:val="0"/>
                <w:sz w:val="20"/>
                <w:szCs w:val="20"/>
                <w:highlight w:val="none"/>
                <w:lang w:val="en-US" w:eastAsia="zh-CN"/>
              </w:rPr>
              <w:t>21.72</w:t>
            </w:r>
          </w:p>
        </w:tc>
        <w:tc>
          <w:tcPr>
            <w:tcW w:w="74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31008</w:t>
            </w:r>
          </w:p>
        </w:tc>
        <w:tc>
          <w:tcPr>
            <w:tcW w:w="178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物资储备</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391" w:hRule="atLeast"/>
        </w:trPr>
        <w:tc>
          <w:tcPr>
            <w:tcW w:w="749" w:type="dxa"/>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30112</w:t>
            </w:r>
          </w:p>
        </w:tc>
        <w:tc>
          <w:tcPr>
            <w:tcW w:w="1348" w:type="dxa"/>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 xml:space="preserve">  其他社会保障缴费</w:t>
            </w:r>
          </w:p>
        </w:tc>
        <w:tc>
          <w:tcPr>
            <w:tcW w:w="1033"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hint="eastAsia" w:ascii="Arial" w:hAnsi="Arial" w:eastAsia="宋体" w:cs="Arial"/>
                <w:color w:val="000000"/>
                <w:kern w:val="0"/>
                <w:sz w:val="20"/>
                <w:szCs w:val="20"/>
                <w:highlight w:val="none"/>
                <w:lang w:val="en-US" w:eastAsia="zh-CN"/>
              </w:rPr>
              <w:t>3.92</w:t>
            </w:r>
            <w:r>
              <w:rPr>
                <w:rFonts w:ascii="Arial" w:hAnsi="Arial" w:eastAsia="宋体" w:cs="Arial"/>
                <w:color w:val="000000"/>
                <w:kern w:val="0"/>
                <w:sz w:val="20"/>
                <w:szCs w:val="20"/>
                <w:highlight w:val="none"/>
              </w:rPr>
              <w:t>　</w:t>
            </w:r>
          </w:p>
        </w:tc>
        <w:tc>
          <w:tcPr>
            <w:tcW w:w="749" w:type="dxa"/>
            <w:gridSpan w:val="3"/>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30211</w:t>
            </w:r>
          </w:p>
        </w:tc>
        <w:tc>
          <w:tcPr>
            <w:tcW w:w="1458" w:type="dxa"/>
            <w:gridSpan w:val="2"/>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 xml:space="preserve">  差旅费</w:t>
            </w:r>
          </w:p>
        </w:tc>
        <w:tc>
          <w:tcPr>
            <w:tcW w:w="94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hint="default" w:ascii="Arial" w:hAnsi="Arial" w:eastAsia="宋体" w:cs="Arial"/>
                <w:color w:val="000000"/>
                <w:kern w:val="0"/>
                <w:sz w:val="20"/>
                <w:szCs w:val="20"/>
                <w:highlight w:val="none"/>
                <w:lang w:val="en-US" w:eastAsia="zh-CN"/>
              </w:rPr>
            </w:pPr>
            <w:r>
              <w:rPr>
                <w:rFonts w:ascii="Arial" w:hAnsi="Arial" w:eastAsia="宋体" w:cs="Arial"/>
                <w:color w:val="000000"/>
                <w:kern w:val="0"/>
                <w:sz w:val="20"/>
                <w:szCs w:val="20"/>
                <w:highlight w:val="none"/>
              </w:rPr>
              <w:t>　</w:t>
            </w:r>
            <w:r>
              <w:rPr>
                <w:rFonts w:hint="eastAsia" w:ascii="Arial" w:hAnsi="Arial" w:eastAsia="宋体" w:cs="Arial"/>
                <w:color w:val="000000"/>
                <w:kern w:val="0"/>
                <w:sz w:val="20"/>
                <w:szCs w:val="20"/>
                <w:highlight w:val="none"/>
                <w:lang w:val="en-US" w:eastAsia="zh-CN"/>
              </w:rPr>
              <w:t>2.78</w:t>
            </w:r>
          </w:p>
        </w:tc>
        <w:tc>
          <w:tcPr>
            <w:tcW w:w="749" w:type="dxa"/>
            <w:gridSpan w:val="2"/>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31009</w:t>
            </w:r>
          </w:p>
        </w:tc>
        <w:tc>
          <w:tcPr>
            <w:tcW w:w="1789" w:type="dxa"/>
            <w:gridSpan w:val="2"/>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 xml:space="preserve">  土地补偿</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220" w:hRule="atLeast"/>
        </w:trPr>
        <w:tc>
          <w:tcPr>
            <w:tcW w:w="749" w:type="dxa"/>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30113</w:t>
            </w:r>
          </w:p>
        </w:tc>
        <w:tc>
          <w:tcPr>
            <w:tcW w:w="1348" w:type="dxa"/>
            <w:tcBorders>
              <w:top w:val="single" w:color="auto" w:sz="4" w:space="0"/>
              <w:left w:val="nil"/>
              <w:bottom w:val="single" w:color="auto" w:sz="4" w:space="0"/>
              <w:right w:val="single" w:color="auto" w:sz="4" w:space="0"/>
            </w:tcBorders>
            <w:shd w:val="clear" w:color="auto" w:fill="auto"/>
          </w:tcPr>
          <w:p>
            <w:pPr>
              <w:rPr>
                <w:highlight w:val="none"/>
              </w:rPr>
            </w:pPr>
            <w:r>
              <w:rPr>
                <w:rFonts w:hint="eastAsia"/>
                <w:highlight w:val="none"/>
              </w:rPr>
              <w:t xml:space="preserve">  住房公积金</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55.31</w:t>
            </w:r>
            <w:r>
              <w:rPr>
                <w:rFonts w:hint="eastAsia" w:ascii="宋体" w:hAnsi="宋体" w:eastAsia="宋体" w:cs="Arial"/>
                <w:color w:val="000000"/>
                <w:kern w:val="0"/>
                <w:sz w:val="22"/>
                <w:highlight w:val="none"/>
              </w:rPr>
              <w:t>　</w:t>
            </w:r>
          </w:p>
        </w:tc>
        <w:tc>
          <w:tcPr>
            <w:tcW w:w="749" w:type="dxa"/>
            <w:gridSpan w:val="3"/>
            <w:tcBorders>
              <w:top w:val="single" w:color="auto" w:sz="4" w:space="0"/>
              <w:left w:val="nil"/>
              <w:bottom w:val="single" w:color="auto" w:sz="4" w:space="0"/>
              <w:right w:val="single" w:color="auto" w:sz="4" w:space="0"/>
            </w:tcBorders>
            <w:shd w:val="clear" w:color="auto" w:fill="auto"/>
          </w:tcPr>
          <w:p>
            <w:pPr>
              <w:rPr>
                <w:highlight w:val="none"/>
              </w:rPr>
            </w:pPr>
            <w:r>
              <w:rPr>
                <w:rFonts w:hint="eastAsia"/>
                <w:highlight w:val="none"/>
              </w:rPr>
              <w:t>30212</w:t>
            </w:r>
          </w:p>
        </w:tc>
        <w:tc>
          <w:tcPr>
            <w:tcW w:w="1458" w:type="dxa"/>
            <w:gridSpan w:val="2"/>
            <w:tcBorders>
              <w:top w:val="single" w:color="auto" w:sz="4" w:space="0"/>
              <w:left w:val="nil"/>
              <w:bottom w:val="single" w:color="auto" w:sz="4" w:space="0"/>
              <w:right w:val="single" w:color="auto" w:sz="4" w:space="0"/>
            </w:tcBorders>
            <w:shd w:val="clear" w:color="auto" w:fill="auto"/>
          </w:tcPr>
          <w:p>
            <w:pPr>
              <w:rPr>
                <w:highlight w:val="none"/>
              </w:rPr>
            </w:pPr>
            <w:r>
              <w:rPr>
                <w:rFonts w:hint="eastAsia"/>
                <w:highlight w:val="none"/>
              </w:rPr>
              <w:t xml:space="preserve">  因公出国（境）费用</w:t>
            </w:r>
          </w:p>
        </w:tc>
        <w:tc>
          <w:tcPr>
            <w:tcW w:w="942" w:type="dxa"/>
            <w:tcBorders>
              <w:top w:val="single" w:color="auto" w:sz="4" w:space="0"/>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749" w:type="dxa"/>
            <w:gridSpan w:val="2"/>
            <w:tcBorders>
              <w:top w:val="single" w:color="auto" w:sz="4" w:space="0"/>
              <w:left w:val="nil"/>
              <w:bottom w:val="single" w:color="auto" w:sz="4" w:space="0"/>
              <w:right w:val="single" w:color="auto" w:sz="4" w:space="0"/>
            </w:tcBorders>
            <w:shd w:val="clear" w:color="auto" w:fill="auto"/>
          </w:tcPr>
          <w:p>
            <w:pPr>
              <w:rPr>
                <w:highlight w:val="none"/>
              </w:rPr>
            </w:pPr>
            <w:r>
              <w:rPr>
                <w:rFonts w:hint="eastAsia"/>
                <w:highlight w:val="none"/>
              </w:rPr>
              <w:t>31010</w:t>
            </w:r>
          </w:p>
        </w:tc>
        <w:tc>
          <w:tcPr>
            <w:tcW w:w="1789" w:type="dxa"/>
            <w:gridSpan w:val="2"/>
            <w:tcBorders>
              <w:top w:val="single" w:color="auto" w:sz="4" w:space="0"/>
              <w:left w:val="nil"/>
              <w:bottom w:val="single" w:color="auto" w:sz="4" w:space="0"/>
              <w:right w:val="single" w:color="auto" w:sz="4" w:space="0"/>
            </w:tcBorders>
            <w:shd w:val="clear" w:color="auto" w:fill="auto"/>
          </w:tcPr>
          <w:p>
            <w:pPr>
              <w:rPr>
                <w:highlight w:val="none"/>
              </w:rPr>
            </w:pPr>
            <w:r>
              <w:rPr>
                <w:rFonts w:hint="eastAsia"/>
                <w:highlight w:val="none"/>
              </w:rPr>
              <w:t xml:space="preserve">  安置补助</w:t>
            </w:r>
          </w:p>
        </w:tc>
        <w:tc>
          <w:tcPr>
            <w:tcW w:w="1125" w:type="dxa"/>
            <w:tcBorders>
              <w:top w:val="single" w:color="auto" w:sz="4" w:space="0"/>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220" w:hRule="atLeast"/>
        </w:trPr>
        <w:tc>
          <w:tcPr>
            <w:tcW w:w="749" w:type="dxa"/>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30114</w:t>
            </w:r>
          </w:p>
        </w:tc>
        <w:tc>
          <w:tcPr>
            <w:tcW w:w="1348" w:type="dxa"/>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 xml:space="preserve">  医疗费</w:t>
            </w: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749" w:type="dxa"/>
            <w:gridSpan w:val="3"/>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30213</w:t>
            </w:r>
          </w:p>
        </w:tc>
        <w:tc>
          <w:tcPr>
            <w:tcW w:w="1458" w:type="dxa"/>
            <w:gridSpan w:val="2"/>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 xml:space="preserve">  维修（护）费</w:t>
            </w:r>
          </w:p>
        </w:tc>
        <w:tc>
          <w:tcPr>
            <w:tcW w:w="94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hint="default" w:ascii="Arial" w:hAnsi="Arial" w:eastAsia="宋体" w:cs="Arial"/>
                <w:color w:val="000000"/>
                <w:kern w:val="0"/>
                <w:sz w:val="20"/>
                <w:szCs w:val="20"/>
                <w:highlight w:val="none"/>
                <w:lang w:val="en-US" w:eastAsia="zh-CN"/>
              </w:rPr>
            </w:pPr>
            <w:r>
              <w:rPr>
                <w:rFonts w:ascii="Arial" w:hAnsi="Arial" w:eastAsia="宋体" w:cs="Arial"/>
                <w:color w:val="000000"/>
                <w:kern w:val="0"/>
                <w:sz w:val="20"/>
                <w:szCs w:val="20"/>
                <w:highlight w:val="none"/>
              </w:rPr>
              <w:t>　</w:t>
            </w:r>
            <w:r>
              <w:rPr>
                <w:rFonts w:hint="eastAsia" w:ascii="Arial" w:hAnsi="Arial" w:eastAsia="宋体" w:cs="Arial"/>
                <w:color w:val="000000"/>
                <w:kern w:val="0"/>
                <w:sz w:val="20"/>
                <w:szCs w:val="20"/>
                <w:highlight w:val="none"/>
                <w:lang w:val="en-US" w:eastAsia="zh-CN"/>
              </w:rPr>
              <w:t>13.34</w:t>
            </w:r>
          </w:p>
        </w:tc>
        <w:tc>
          <w:tcPr>
            <w:tcW w:w="749" w:type="dxa"/>
            <w:gridSpan w:val="2"/>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31011</w:t>
            </w:r>
          </w:p>
        </w:tc>
        <w:tc>
          <w:tcPr>
            <w:tcW w:w="1789" w:type="dxa"/>
            <w:gridSpan w:val="2"/>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 xml:space="preserve">  地上附着物和青苗补偿</w:t>
            </w:r>
          </w:p>
        </w:tc>
        <w:tc>
          <w:tcPr>
            <w:tcW w:w="1125" w:type="dxa"/>
            <w:tcBorders>
              <w:top w:val="nil"/>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220" w:hRule="atLeast"/>
        </w:trPr>
        <w:tc>
          <w:tcPr>
            <w:tcW w:w="749" w:type="dxa"/>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30199</w:t>
            </w:r>
          </w:p>
        </w:tc>
        <w:tc>
          <w:tcPr>
            <w:tcW w:w="1348" w:type="dxa"/>
            <w:tcBorders>
              <w:top w:val="single" w:color="auto" w:sz="4" w:space="0"/>
              <w:left w:val="nil"/>
              <w:bottom w:val="single" w:color="auto" w:sz="4" w:space="0"/>
              <w:right w:val="single" w:color="auto" w:sz="4" w:space="0"/>
            </w:tcBorders>
            <w:shd w:val="clear" w:color="auto" w:fill="auto"/>
          </w:tcPr>
          <w:p>
            <w:pPr>
              <w:rPr>
                <w:highlight w:val="none"/>
              </w:rPr>
            </w:pPr>
            <w:r>
              <w:rPr>
                <w:rFonts w:hint="eastAsia"/>
                <w:highlight w:val="none"/>
              </w:rPr>
              <w:t xml:space="preserve">  其他工资福利支出</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95.27</w:t>
            </w:r>
            <w:r>
              <w:rPr>
                <w:rFonts w:hint="eastAsia" w:ascii="宋体" w:hAnsi="宋体" w:eastAsia="宋体" w:cs="Arial"/>
                <w:color w:val="000000"/>
                <w:kern w:val="0"/>
                <w:sz w:val="22"/>
                <w:highlight w:val="none"/>
              </w:rPr>
              <w:t>　</w:t>
            </w:r>
          </w:p>
        </w:tc>
        <w:tc>
          <w:tcPr>
            <w:tcW w:w="749" w:type="dxa"/>
            <w:gridSpan w:val="3"/>
            <w:tcBorders>
              <w:top w:val="single" w:color="auto" w:sz="4" w:space="0"/>
              <w:left w:val="nil"/>
              <w:bottom w:val="single" w:color="auto" w:sz="4" w:space="0"/>
              <w:right w:val="single" w:color="auto" w:sz="4" w:space="0"/>
            </w:tcBorders>
            <w:shd w:val="clear" w:color="auto" w:fill="auto"/>
          </w:tcPr>
          <w:p>
            <w:pPr>
              <w:rPr>
                <w:highlight w:val="none"/>
              </w:rPr>
            </w:pPr>
            <w:r>
              <w:rPr>
                <w:rFonts w:hint="eastAsia"/>
                <w:highlight w:val="none"/>
              </w:rPr>
              <w:t>30214</w:t>
            </w:r>
          </w:p>
        </w:tc>
        <w:tc>
          <w:tcPr>
            <w:tcW w:w="1458" w:type="dxa"/>
            <w:gridSpan w:val="2"/>
            <w:tcBorders>
              <w:top w:val="single" w:color="auto" w:sz="4" w:space="0"/>
              <w:left w:val="nil"/>
              <w:bottom w:val="single" w:color="auto" w:sz="4" w:space="0"/>
              <w:right w:val="single" w:color="auto" w:sz="4" w:space="0"/>
            </w:tcBorders>
            <w:shd w:val="clear" w:color="auto" w:fill="auto"/>
          </w:tcPr>
          <w:p>
            <w:pPr>
              <w:rPr>
                <w:highlight w:val="none"/>
              </w:rPr>
            </w:pPr>
            <w:r>
              <w:rPr>
                <w:rFonts w:hint="eastAsia"/>
                <w:highlight w:val="none"/>
              </w:rPr>
              <w:t xml:space="preserve">  租赁费</w:t>
            </w:r>
          </w:p>
        </w:tc>
        <w:tc>
          <w:tcPr>
            <w:tcW w:w="942" w:type="dxa"/>
            <w:tcBorders>
              <w:top w:val="single" w:color="auto" w:sz="4" w:space="0"/>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749" w:type="dxa"/>
            <w:gridSpan w:val="2"/>
            <w:tcBorders>
              <w:top w:val="single" w:color="auto" w:sz="4" w:space="0"/>
              <w:left w:val="nil"/>
              <w:bottom w:val="single" w:color="auto" w:sz="4" w:space="0"/>
              <w:right w:val="single" w:color="auto" w:sz="4" w:space="0"/>
            </w:tcBorders>
            <w:shd w:val="clear" w:color="auto" w:fill="auto"/>
          </w:tcPr>
          <w:p>
            <w:pPr>
              <w:rPr>
                <w:highlight w:val="none"/>
              </w:rPr>
            </w:pPr>
            <w:r>
              <w:rPr>
                <w:rFonts w:hint="eastAsia"/>
                <w:highlight w:val="none"/>
              </w:rPr>
              <w:t>31012</w:t>
            </w:r>
          </w:p>
        </w:tc>
        <w:tc>
          <w:tcPr>
            <w:tcW w:w="1789" w:type="dxa"/>
            <w:gridSpan w:val="2"/>
            <w:tcBorders>
              <w:top w:val="single" w:color="auto" w:sz="4" w:space="0"/>
              <w:left w:val="nil"/>
              <w:bottom w:val="single" w:color="auto" w:sz="4" w:space="0"/>
              <w:right w:val="single" w:color="auto" w:sz="4" w:space="0"/>
            </w:tcBorders>
            <w:shd w:val="clear" w:color="auto" w:fill="auto"/>
          </w:tcPr>
          <w:p>
            <w:pPr>
              <w:rPr>
                <w:highlight w:val="none"/>
              </w:rPr>
            </w:pPr>
            <w:r>
              <w:rPr>
                <w:rFonts w:hint="eastAsia"/>
                <w:highlight w:val="none"/>
              </w:rPr>
              <w:t xml:space="preserve">  拆迁补偿</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220" w:hRule="atLeast"/>
        </w:trPr>
        <w:tc>
          <w:tcPr>
            <w:tcW w:w="749" w:type="dxa"/>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303</w:t>
            </w:r>
          </w:p>
        </w:tc>
        <w:tc>
          <w:tcPr>
            <w:tcW w:w="1348" w:type="dxa"/>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对个人和家庭的补助</w:t>
            </w: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119.69</w:t>
            </w:r>
            <w:r>
              <w:rPr>
                <w:rFonts w:hint="eastAsia" w:ascii="宋体" w:hAnsi="宋体" w:eastAsia="宋体" w:cs="Arial"/>
                <w:color w:val="000000"/>
                <w:kern w:val="0"/>
                <w:sz w:val="22"/>
                <w:highlight w:val="none"/>
              </w:rPr>
              <w:t>　</w:t>
            </w:r>
          </w:p>
        </w:tc>
        <w:tc>
          <w:tcPr>
            <w:tcW w:w="749" w:type="dxa"/>
            <w:gridSpan w:val="3"/>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30215</w:t>
            </w:r>
          </w:p>
        </w:tc>
        <w:tc>
          <w:tcPr>
            <w:tcW w:w="1458" w:type="dxa"/>
            <w:gridSpan w:val="2"/>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 xml:space="preserve">  会议费</w:t>
            </w:r>
          </w:p>
        </w:tc>
        <w:tc>
          <w:tcPr>
            <w:tcW w:w="94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749" w:type="dxa"/>
            <w:gridSpan w:val="2"/>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31013</w:t>
            </w:r>
          </w:p>
        </w:tc>
        <w:tc>
          <w:tcPr>
            <w:tcW w:w="1789" w:type="dxa"/>
            <w:gridSpan w:val="2"/>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 xml:space="preserve">  公务用车购置</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220" w:hRule="atLeast"/>
        </w:trPr>
        <w:tc>
          <w:tcPr>
            <w:tcW w:w="749" w:type="dxa"/>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30301</w:t>
            </w:r>
          </w:p>
        </w:tc>
        <w:tc>
          <w:tcPr>
            <w:tcW w:w="1348" w:type="dxa"/>
            <w:tcBorders>
              <w:top w:val="single" w:color="auto" w:sz="4" w:space="0"/>
              <w:left w:val="nil"/>
              <w:bottom w:val="single" w:color="auto" w:sz="4" w:space="0"/>
              <w:right w:val="single" w:color="auto" w:sz="4" w:space="0"/>
            </w:tcBorders>
            <w:shd w:val="clear" w:color="auto" w:fill="auto"/>
          </w:tcPr>
          <w:p>
            <w:pPr>
              <w:rPr>
                <w:highlight w:val="none"/>
              </w:rPr>
            </w:pPr>
            <w:r>
              <w:rPr>
                <w:rFonts w:hint="eastAsia"/>
                <w:highlight w:val="none"/>
              </w:rPr>
              <w:t xml:space="preserve">  离休费</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749" w:type="dxa"/>
            <w:gridSpan w:val="3"/>
            <w:tcBorders>
              <w:top w:val="single" w:color="auto" w:sz="4" w:space="0"/>
              <w:left w:val="nil"/>
              <w:bottom w:val="single" w:color="auto" w:sz="4" w:space="0"/>
              <w:right w:val="single" w:color="auto" w:sz="4" w:space="0"/>
            </w:tcBorders>
            <w:shd w:val="clear" w:color="auto" w:fill="auto"/>
          </w:tcPr>
          <w:p>
            <w:pPr>
              <w:rPr>
                <w:highlight w:val="none"/>
              </w:rPr>
            </w:pPr>
            <w:r>
              <w:rPr>
                <w:rFonts w:hint="eastAsia"/>
                <w:highlight w:val="none"/>
              </w:rPr>
              <w:t>30216</w:t>
            </w:r>
          </w:p>
        </w:tc>
        <w:tc>
          <w:tcPr>
            <w:tcW w:w="1458" w:type="dxa"/>
            <w:gridSpan w:val="2"/>
            <w:tcBorders>
              <w:top w:val="single" w:color="auto" w:sz="4" w:space="0"/>
              <w:left w:val="nil"/>
              <w:bottom w:val="single" w:color="auto" w:sz="4" w:space="0"/>
              <w:right w:val="single" w:color="auto" w:sz="4" w:space="0"/>
            </w:tcBorders>
            <w:shd w:val="clear" w:color="auto" w:fill="auto"/>
          </w:tcPr>
          <w:p>
            <w:pPr>
              <w:rPr>
                <w:highlight w:val="none"/>
              </w:rPr>
            </w:pPr>
            <w:r>
              <w:rPr>
                <w:rFonts w:hint="eastAsia"/>
                <w:highlight w:val="none"/>
              </w:rPr>
              <w:t xml:space="preserve">  培训费</w:t>
            </w:r>
          </w:p>
        </w:tc>
        <w:tc>
          <w:tcPr>
            <w:tcW w:w="942" w:type="dxa"/>
            <w:tcBorders>
              <w:top w:val="single" w:color="auto" w:sz="4" w:space="0"/>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hint="eastAsia" w:ascii="Arial" w:hAnsi="Arial" w:eastAsia="宋体" w:cs="Arial"/>
                <w:color w:val="000000"/>
                <w:kern w:val="0"/>
                <w:sz w:val="20"/>
                <w:szCs w:val="20"/>
                <w:highlight w:val="none"/>
                <w:lang w:val="en-US" w:eastAsia="zh-CN"/>
              </w:rPr>
              <w:t>1.1</w:t>
            </w:r>
            <w:r>
              <w:rPr>
                <w:rFonts w:ascii="Arial" w:hAnsi="Arial" w:eastAsia="宋体" w:cs="Arial"/>
                <w:color w:val="000000"/>
                <w:kern w:val="0"/>
                <w:sz w:val="20"/>
                <w:szCs w:val="20"/>
                <w:highlight w:val="none"/>
              </w:rPr>
              <w:t>　</w:t>
            </w:r>
          </w:p>
        </w:tc>
        <w:tc>
          <w:tcPr>
            <w:tcW w:w="749" w:type="dxa"/>
            <w:gridSpan w:val="2"/>
            <w:tcBorders>
              <w:top w:val="single" w:color="auto" w:sz="4" w:space="0"/>
              <w:left w:val="nil"/>
              <w:bottom w:val="single" w:color="auto" w:sz="4" w:space="0"/>
              <w:right w:val="single" w:color="auto" w:sz="4" w:space="0"/>
            </w:tcBorders>
            <w:shd w:val="clear" w:color="auto" w:fill="auto"/>
          </w:tcPr>
          <w:p>
            <w:pPr>
              <w:rPr>
                <w:highlight w:val="none"/>
              </w:rPr>
            </w:pPr>
            <w:r>
              <w:rPr>
                <w:rFonts w:hint="eastAsia"/>
                <w:highlight w:val="none"/>
              </w:rPr>
              <w:t>31019</w:t>
            </w:r>
          </w:p>
        </w:tc>
        <w:tc>
          <w:tcPr>
            <w:tcW w:w="1789" w:type="dxa"/>
            <w:gridSpan w:val="2"/>
            <w:tcBorders>
              <w:top w:val="single" w:color="auto" w:sz="4" w:space="0"/>
              <w:left w:val="nil"/>
              <w:bottom w:val="single" w:color="auto" w:sz="4" w:space="0"/>
              <w:right w:val="single" w:color="auto" w:sz="4" w:space="0"/>
            </w:tcBorders>
            <w:shd w:val="clear" w:color="auto" w:fill="auto"/>
          </w:tcPr>
          <w:p>
            <w:pPr>
              <w:rPr>
                <w:highlight w:val="none"/>
              </w:rPr>
            </w:pPr>
            <w:r>
              <w:rPr>
                <w:rFonts w:hint="eastAsia"/>
                <w:highlight w:val="none"/>
              </w:rPr>
              <w:t xml:space="preserve">  其他交通工具购置</w:t>
            </w:r>
          </w:p>
        </w:tc>
        <w:tc>
          <w:tcPr>
            <w:tcW w:w="1125" w:type="dxa"/>
            <w:tcBorders>
              <w:top w:val="single" w:color="auto" w:sz="4" w:space="0"/>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30302</w:t>
            </w:r>
          </w:p>
        </w:tc>
        <w:tc>
          <w:tcPr>
            <w:tcW w:w="1348" w:type="dxa"/>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退休费</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749" w:type="dxa"/>
            <w:gridSpan w:val="3"/>
            <w:tcBorders>
              <w:top w:val="nil"/>
              <w:left w:val="nil"/>
              <w:bottom w:val="single" w:color="auto" w:sz="4" w:space="0"/>
              <w:right w:val="single" w:color="auto" w:sz="4" w:space="0"/>
            </w:tcBorders>
            <w:shd w:val="clear" w:color="auto" w:fill="auto"/>
          </w:tcPr>
          <w:p>
            <w:pPr>
              <w:rPr>
                <w:highlight w:val="none"/>
              </w:rPr>
            </w:pPr>
            <w:r>
              <w:rPr>
                <w:rFonts w:hint="eastAsia"/>
                <w:highlight w:val="none"/>
              </w:rPr>
              <w:t>30217</w:t>
            </w:r>
          </w:p>
        </w:tc>
        <w:tc>
          <w:tcPr>
            <w:tcW w:w="1458"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公务接待费</w:t>
            </w:r>
          </w:p>
        </w:tc>
        <w:tc>
          <w:tcPr>
            <w:tcW w:w="94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hint="default" w:ascii="Arial" w:hAnsi="Arial" w:eastAsia="宋体" w:cs="Arial"/>
                <w:color w:val="000000"/>
                <w:kern w:val="0"/>
                <w:sz w:val="20"/>
                <w:szCs w:val="20"/>
                <w:highlight w:val="none"/>
                <w:lang w:val="en-US" w:eastAsia="zh-CN"/>
              </w:rPr>
            </w:pPr>
            <w:r>
              <w:rPr>
                <w:rFonts w:ascii="Arial" w:hAnsi="Arial" w:eastAsia="宋体" w:cs="Arial"/>
                <w:color w:val="000000"/>
                <w:kern w:val="0"/>
                <w:sz w:val="20"/>
                <w:szCs w:val="20"/>
                <w:highlight w:val="none"/>
              </w:rPr>
              <w:t>　</w:t>
            </w:r>
            <w:r>
              <w:rPr>
                <w:rFonts w:hint="eastAsia" w:ascii="Arial" w:hAnsi="Arial" w:eastAsia="宋体" w:cs="Arial"/>
                <w:color w:val="000000"/>
                <w:kern w:val="0"/>
                <w:sz w:val="20"/>
                <w:szCs w:val="20"/>
                <w:highlight w:val="none"/>
                <w:lang w:val="en-US" w:eastAsia="zh-CN"/>
              </w:rPr>
              <w:t>0.86</w:t>
            </w:r>
          </w:p>
        </w:tc>
        <w:tc>
          <w:tcPr>
            <w:tcW w:w="74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31021</w:t>
            </w:r>
          </w:p>
        </w:tc>
        <w:tc>
          <w:tcPr>
            <w:tcW w:w="178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文物和陈列品购置</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30303</w:t>
            </w:r>
          </w:p>
        </w:tc>
        <w:tc>
          <w:tcPr>
            <w:tcW w:w="1348" w:type="dxa"/>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退职（役）费</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749" w:type="dxa"/>
            <w:gridSpan w:val="3"/>
            <w:tcBorders>
              <w:top w:val="nil"/>
              <w:left w:val="nil"/>
              <w:bottom w:val="single" w:color="auto" w:sz="4" w:space="0"/>
              <w:right w:val="single" w:color="auto" w:sz="4" w:space="0"/>
            </w:tcBorders>
            <w:shd w:val="clear" w:color="auto" w:fill="auto"/>
          </w:tcPr>
          <w:p>
            <w:pPr>
              <w:rPr>
                <w:highlight w:val="none"/>
              </w:rPr>
            </w:pPr>
            <w:r>
              <w:rPr>
                <w:rFonts w:hint="eastAsia"/>
                <w:highlight w:val="none"/>
              </w:rPr>
              <w:t>30218</w:t>
            </w:r>
          </w:p>
        </w:tc>
        <w:tc>
          <w:tcPr>
            <w:tcW w:w="1458"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专用材料费</w:t>
            </w:r>
          </w:p>
        </w:tc>
        <w:tc>
          <w:tcPr>
            <w:tcW w:w="94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hint="default" w:ascii="Arial" w:hAnsi="Arial" w:eastAsia="宋体" w:cs="Arial"/>
                <w:color w:val="000000"/>
                <w:kern w:val="0"/>
                <w:sz w:val="20"/>
                <w:szCs w:val="20"/>
                <w:highlight w:val="none"/>
                <w:lang w:val="en-US" w:eastAsia="zh-CN"/>
              </w:rPr>
            </w:pPr>
            <w:r>
              <w:rPr>
                <w:rFonts w:ascii="Arial" w:hAnsi="Arial" w:eastAsia="宋体" w:cs="Arial"/>
                <w:color w:val="000000"/>
                <w:kern w:val="0"/>
                <w:sz w:val="20"/>
                <w:szCs w:val="20"/>
                <w:highlight w:val="none"/>
              </w:rPr>
              <w:t>　</w:t>
            </w:r>
            <w:r>
              <w:rPr>
                <w:rFonts w:hint="eastAsia" w:ascii="Arial" w:hAnsi="Arial" w:eastAsia="宋体" w:cs="Arial"/>
                <w:color w:val="000000"/>
                <w:kern w:val="0"/>
                <w:sz w:val="20"/>
                <w:szCs w:val="20"/>
                <w:highlight w:val="none"/>
                <w:lang w:val="en-US" w:eastAsia="zh-CN"/>
              </w:rPr>
              <w:t>7.32</w:t>
            </w:r>
          </w:p>
        </w:tc>
        <w:tc>
          <w:tcPr>
            <w:tcW w:w="74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31022</w:t>
            </w:r>
          </w:p>
        </w:tc>
        <w:tc>
          <w:tcPr>
            <w:tcW w:w="178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无形资产购置</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30304</w:t>
            </w:r>
          </w:p>
        </w:tc>
        <w:tc>
          <w:tcPr>
            <w:tcW w:w="1348" w:type="dxa"/>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抚恤金</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4.89</w:t>
            </w:r>
            <w:r>
              <w:rPr>
                <w:rFonts w:hint="eastAsia" w:ascii="宋体" w:hAnsi="宋体" w:eastAsia="宋体" w:cs="Arial"/>
                <w:color w:val="000000"/>
                <w:kern w:val="0"/>
                <w:sz w:val="22"/>
                <w:highlight w:val="none"/>
              </w:rPr>
              <w:t>　</w:t>
            </w:r>
          </w:p>
        </w:tc>
        <w:tc>
          <w:tcPr>
            <w:tcW w:w="749" w:type="dxa"/>
            <w:gridSpan w:val="3"/>
            <w:tcBorders>
              <w:top w:val="nil"/>
              <w:left w:val="nil"/>
              <w:bottom w:val="single" w:color="auto" w:sz="4" w:space="0"/>
              <w:right w:val="single" w:color="auto" w:sz="4" w:space="0"/>
            </w:tcBorders>
            <w:shd w:val="clear" w:color="auto" w:fill="auto"/>
          </w:tcPr>
          <w:p>
            <w:pPr>
              <w:rPr>
                <w:highlight w:val="none"/>
              </w:rPr>
            </w:pPr>
            <w:r>
              <w:rPr>
                <w:rFonts w:hint="eastAsia"/>
                <w:highlight w:val="none"/>
              </w:rPr>
              <w:t>30224</w:t>
            </w:r>
          </w:p>
        </w:tc>
        <w:tc>
          <w:tcPr>
            <w:tcW w:w="1458"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被装购置费</w:t>
            </w:r>
          </w:p>
        </w:tc>
        <w:tc>
          <w:tcPr>
            <w:tcW w:w="94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74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31099</w:t>
            </w:r>
          </w:p>
        </w:tc>
        <w:tc>
          <w:tcPr>
            <w:tcW w:w="178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其他资本性支出</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hint="eastAsia" w:ascii="Arial" w:hAnsi="Arial" w:eastAsia="宋体" w:cs="Arial"/>
                <w:color w:val="000000"/>
                <w:kern w:val="0"/>
                <w:sz w:val="20"/>
                <w:szCs w:val="20"/>
                <w:highlight w:val="none"/>
                <w:lang w:val="en-US" w:eastAsia="zh-CN"/>
              </w:rPr>
              <w:t>3.32</w:t>
            </w: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391" w:hRule="atLeast"/>
        </w:trPr>
        <w:tc>
          <w:tcPr>
            <w:tcW w:w="749" w:type="dxa"/>
            <w:tcBorders>
              <w:top w:val="nil"/>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30305</w:t>
            </w:r>
          </w:p>
        </w:tc>
        <w:tc>
          <w:tcPr>
            <w:tcW w:w="1348" w:type="dxa"/>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生活补助</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4.36</w:t>
            </w:r>
            <w:r>
              <w:rPr>
                <w:rFonts w:hint="eastAsia" w:ascii="宋体" w:hAnsi="宋体" w:eastAsia="宋体" w:cs="Arial"/>
                <w:color w:val="000000"/>
                <w:kern w:val="0"/>
                <w:sz w:val="22"/>
                <w:highlight w:val="none"/>
              </w:rPr>
              <w:t>　</w:t>
            </w:r>
          </w:p>
        </w:tc>
        <w:tc>
          <w:tcPr>
            <w:tcW w:w="749" w:type="dxa"/>
            <w:gridSpan w:val="3"/>
            <w:tcBorders>
              <w:top w:val="nil"/>
              <w:left w:val="nil"/>
              <w:bottom w:val="single" w:color="auto" w:sz="4" w:space="0"/>
              <w:right w:val="single" w:color="auto" w:sz="4" w:space="0"/>
            </w:tcBorders>
            <w:shd w:val="clear" w:color="auto" w:fill="auto"/>
          </w:tcPr>
          <w:p>
            <w:pPr>
              <w:rPr>
                <w:highlight w:val="none"/>
              </w:rPr>
            </w:pPr>
            <w:r>
              <w:rPr>
                <w:rFonts w:hint="eastAsia"/>
                <w:highlight w:val="none"/>
              </w:rPr>
              <w:t>30225</w:t>
            </w:r>
          </w:p>
        </w:tc>
        <w:tc>
          <w:tcPr>
            <w:tcW w:w="1458"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专用燃料费</w:t>
            </w:r>
          </w:p>
        </w:tc>
        <w:tc>
          <w:tcPr>
            <w:tcW w:w="94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74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312</w:t>
            </w:r>
          </w:p>
        </w:tc>
        <w:tc>
          <w:tcPr>
            <w:tcW w:w="178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对企业补助</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30306</w:t>
            </w:r>
          </w:p>
        </w:tc>
        <w:tc>
          <w:tcPr>
            <w:tcW w:w="1348" w:type="dxa"/>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救济费</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749" w:type="dxa"/>
            <w:gridSpan w:val="3"/>
            <w:tcBorders>
              <w:top w:val="nil"/>
              <w:left w:val="nil"/>
              <w:bottom w:val="single" w:color="auto" w:sz="4" w:space="0"/>
              <w:right w:val="single" w:color="auto" w:sz="4" w:space="0"/>
            </w:tcBorders>
            <w:shd w:val="clear" w:color="auto" w:fill="auto"/>
          </w:tcPr>
          <w:p>
            <w:pPr>
              <w:rPr>
                <w:highlight w:val="none"/>
              </w:rPr>
            </w:pPr>
            <w:r>
              <w:rPr>
                <w:rFonts w:hint="eastAsia"/>
                <w:highlight w:val="none"/>
              </w:rPr>
              <w:t>30226</w:t>
            </w:r>
          </w:p>
        </w:tc>
        <w:tc>
          <w:tcPr>
            <w:tcW w:w="1458"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劳务费</w:t>
            </w:r>
          </w:p>
        </w:tc>
        <w:tc>
          <w:tcPr>
            <w:tcW w:w="94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hint="eastAsia" w:ascii="Arial" w:hAnsi="Arial" w:eastAsia="宋体" w:cs="Arial"/>
                <w:color w:val="000000"/>
                <w:kern w:val="0"/>
                <w:sz w:val="20"/>
                <w:szCs w:val="20"/>
                <w:highlight w:val="none"/>
                <w:lang w:val="en-US" w:eastAsia="zh-CN"/>
              </w:rPr>
              <w:t>12.73</w:t>
            </w:r>
            <w:r>
              <w:rPr>
                <w:rFonts w:ascii="Arial" w:hAnsi="Arial" w:eastAsia="宋体" w:cs="Arial"/>
                <w:color w:val="000000"/>
                <w:kern w:val="0"/>
                <w:sz w:val="20"/>
                <w:szCs w:val="20"/>
                <w:highlight w:val="none"/>
              </w:rPr>
              <w:t>　</w:t>
            </w:r>
          </w:p>
        </w:tc>
        <w:tc>
          <w:tcPr>
            <w:tcW w:w="74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31201</w:t>
            </w:r>
          </w:p>
        </w:tc>
        <w:tc>
          <w:tcPr>
            <w:tcW w:w="178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资本金注入</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30307</w:t>
            </w:r>
          </w:p>
        </w:tc>
        <w:tc>
          <w:tcPr>
            <w:tcW w:w="1348" w:type="dxa"/>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医疗费补助</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749" w:type="dxa"/>
            <w:gridSpan w:val="3"/>
            <w:tcBorders>
              <w:top w:val="nil"/>
              <w:left w:val="nil"/>
              <w:bottom w:val="single" w:color="auto" w:sz="4" w:space="0"/>
              <w:right w:val="single" w:color="auto" w:sz="4" w:space="0"/>
            </w:tcBorders>
            <w:shd w:val="clear" w:color="auto" w:fill="auto"/>
          </w:tcPr>
          <w:p>
            <w:pPr>
              <w:rPr>
                <w:highlight w:val="none"/>
              </w:rPr>
            </w:pPr>
            <w:r>
              <w:rPr>
                <w:rFonts w:hint="eastAsia"/>
                <w:highlight w:val="none"/>
              </w:rPr>
              <w:t>30227</w:t>
            </w:r>
          </w:p>
        </w:tc>
        <w:tc>
          <w:tcPr>
            <w:tcW w:w="1458"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委托业务费</w:t>
            </w:r>
          </w:p>
        </w:tc>
        <w:tc>
          <w:tcPr>
            <w:tcW w:w="94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hint="default" w:ascii="Arial" w:hAnsi="Arial" w:eastAsia="宋体" w:cs="Arial"/>
                <w:color w:val="000000"/>
                <w:kern w:val="0"/>
                <w:sz w:val="20"/>
                <w:szCs w:val="20"/>
                <w:highlight w:val="none"/>
                <w:lang w:val="en-US" w:eastAsia="zh-CN"/>
              </w:rPr>
            </w:pPr>
            <w:r>
              <w:rPr>
                <w:rFonts w:ascii="Arial" w:hAnsi="Arial" w:eastAsia="宋体" w:cs="Arial"/>
                <w:color w:val="000000"/>
                <w:kern w:val="0"/>
                <w:sz w:val="20"/>
                <w:szCs w:val="20"/>
                <w:highlight w:val="none"/>
              </w:rPr>
              <w:t>　</w:t>
            </w:r>
            <w:r>
              <w:rPr>
                <w:rFonts w:hint="eastAsia" w:ascii="Arial" w:hAnsi="Arial" w:eastAsia="宋体" w:cs="Arial"/>
                <w:color w:val="000000"/>
                <w:kern w:val="0"/>
                <w:sz w:val="20"/>
                <w:szCs w:val="20"/>
                <w:highlight w:val="none"/>
                <w:lang w:val="en-US" w:eastAsia="zh-CN"/>
              </w:rPr>
              <w:t>16</w:t>
            </w:r>
          </w:p>
        </w:tc>
        <w:tc>
          <w:tcPr>
            <w:tcW w:w="74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31203</w:t>
            </w:r>
          </w:p>
        </w:tc>
        <w:tc>
          <w:tcPr>
            <w:tcW w:w="178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政府投资基金股权投资</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30308</w:t>
            </w:r>
          </w:p>
        </w:tc>
        <w:tc>
          <w:tcPr>
            <w:tcW w:w="1348" w:type="dxa"/>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助学金</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64.17</w:t>
            </w:r>
            <w:r>
              <w:rPr>
                <w:rFonts w:hint="eastAsia" w:ascii="宋体" w:hAnsi="宋体" w:eastAsia="宋体" w:cs="Arial"/>
                <w:color w:val="000000"/>
                <w:kern w:val="0"/>
                <w:sz w:val="22"/>
                <w:highlight w:val="none"/>
              </w:rPr>
              <w:t>　</w:t>
            </w:r>
          </w:p>
        </w:tc>
        <w:tc>
          <w:tcPr>
            <w:tcW w:w="749" w:type="dxa"/>
            <w:gridSpan w:val="3"/>
            <w:tcBorders>
              <w:top w:val="nil"/>
              <w:left w:val="nil"/>
              <w:bottom w:val="single" w:color="auto" w:sz="4" w:space="0"/>
              <w:right w:val="single" w:color="auto" w:sz="4" w:space="0"/>
            </w:tcBorders>
            <w:shd w:val="clear" w:color="auto" w:fill="auto"/>
          </w:tcPr>
          <w:p>
            <w:pPr>
              <w:rPr>
                <w:highlight w:val="none"/>
              </w:rPr>
            </w:pPr>
            <w:r>
              <w:rPr>
                <w:rFonts w:hint="eastAsia"/>
                <w:highlight w:val="none"/>
              </w:rPr>
              <w:t>30228</w:t>
            </w:r>
          </w:p>
        </w:tc>
        <w:tc>
          <w:tcPr>
            <w:tcW w:w="1458"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工会经费</w:t>
            </w:r>
          </w:p>
        </w:tc>
        <w:tc>
          <w:tcPr>
            <w:tcW w:w="94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hint="default" w:ascii="Arial" w:hAnsi="Arial" w:eastAsia="宋体" w:cs="Arial"/>
                <w:color w:val="000000"/>
                <w:kern w:val="0"/>
                <w:sz w:val="20"/>
                <w:szCs w:val="20"/>
                <w:highlight w:val="none"/>
                <w:lang w:val="en-US" w:eastAsia="zh-CN"/>
              </w:rPr>
            </w:pPr>
            <w:r>
              <w:rPr>
                <w:rFonts w:ascii="Arial" w:hAnsi="Arial" w:eastAsia="宋体" w:cs="Arial"/>
                <w:color w:val="000000"/>
                <w:kern w:val="0"/>
                <w:sz w:val="20"/>
                <w:szCs w:val="20"/>
                <w:highlight w:val="none"/>
              </w:rPr>
              <w:t>　</w:t>
            </w:r>
            <w:r>
              <w:rPr>
                <w:rFonts w:hint="eastAsia" w:ascii="Arial" w:hAnsi="Arial" w:eastAsia="宋体" w:cs="Arial"/>
                <w:color w:val="000000"/>
                <w:kern w:val="0"/>
                <w:sz w:val="20"/>
                <w:szCs w:val="20"/>
                <w:highlight w:val="none"/>
                <w:lang w:val="en-US" w:eastAsia="zh-CN"/>
              </w:rPr>
              <w:t>8.05</w:t>
            </w:r>
          </w:p>
        </w:tc>
        <w:tc>
          <w:tcPr>
            <w:tcW w:w="74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31204</w:t>
            </w:r>
          </w:p>
        </w:tc>
        <w:tc>
          <w:tcPr>
            <w:tcW w:w="178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费用补贴</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220" w:hRule="atLeast"/>
        </w:trPr>
        <w:tc>
          <w:tcPr>
            <w:tcW w:w="749" w:type="dxa"/>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30309</w:t>
            </w:r>
          </w:p>
        </w:tc>
        <w:tc>
          <w:tcPr>
            <w:tcW w:w="1348" w:type="dxa"/>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 xml:space="preserve">  奖励金</w:t>
            </w: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749" w:type="dxa"/>
            <w:gridSpan w:val="3"/>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30229</w:t>
            </w:r>
          </w:p>
        </w:tc>
        <w:tc>
          <w:tcPr>
            <w:tcW w:w="1458" w:type="dxa"/>
            <w:gridSpan w:val="2"/>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 xml:space="preserve">  福利费</w:t>
            </w:r>
          </w:p>
        </w:tc>
        <w:tc>
          <w:tcPr>
            <w:tcW w:w="94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749" w:type="dxa"/>
            <w:gridSpan w:val="2"/>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31205</w:t>
            </w:r>
          </w:p>
        </w:tc>
        <w:tc>
          <w:tcPr>
            <w:tcW w:w="1789" w:type="dxa"/>
            <w:gridSpan w:val="2"/>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 xml:space="preserve">  利息补贴</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391" w:hRule="atLeast"/>
        </w:trPr>
        <w:tc>
          <w:tcPr>
            <w:tcW w:w="749" w:type="dxa"/>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30310</w:t>
            </w:r>
          </w:p>
        </w:tc>
        <w:tc>
          <w:tcPr>
            <w:tcW w:w="1348" w:type="dxa"/>
            <w:tcBorders>
              <w:top w:val="single" w:color="auto" w:sz="4" w:space="0"/>
              <w:left w:val="nil"/>
              <w:bottom w:val="single" w:color="auto" w:sz="4" w:space="0"/>
              <w:right w:val="single" w:color="auto" w:sz="4" w:space="0"/>
            </w:tcBorders>
            <w:shd w:val="clear" w:color="auto" w:fill="auto"/>
          </w:tcPr>
          <w:p>
            <w:pPr>
              <w:rPr>
                <w:highlight w:val="none"/>
              </w:rPr>
            </w:pPr>
            <w:r>
              <w:rPr>
                <w:rFonts w:hint="eastAsia"/>
                <w:highlight w:val="none"/>
              </w:rPr>
              <w:t xml:space="preserve">  个人农业生产补贴</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749" w:type="dxa"/>
            <w:gridSpan w:val="3"/>
            <w:tcBorders>
              <w:top w:val="single" w:color="auto" w:sz="4" w:space="0"/>
              <w:left w:val="nil"/>
              <w:bottom w:val="single" w:color="auto" w:sz="4" w:space="0"/>
              <w:right w:val="single" w:color="auto" w:sz="4" w:space="0"/>
            </w:tcBorders>
            <w:shd w:val="clear" w:color="auto" w:fill="auto"/>
          </w:tcPr>
          <w:p>
            <w:pPr>
              <w:rPr>
                <w:highlight w:val="none"/>
              </w:rPr>
            </w:pPr>
            <w:r>
              <w:rPr>
                <w:rFonts w:hint="eastAsia"/>
                <w:highlight w:val="none"/>
              </w:rPr>
              <w:t>30231</w:t>
            </w:r>
          </w:p>
        </w:tc>
        <w:tc>
          <w:tcPr>
            <w:tcW w:w="1458" w:type="dxa"/>
            <w:gridSpan w:val="2"/>
            <w:tcBorders>
              <w:top w:val="single" w:color="auto" w:sz="4" w:space="0"/>
              <w:left w:val="nil"/>
              <w:bottom w:val="single" w:color="auto" w:sz="4" w:space="0"/>
              <w:right w:val="single" w:color="auto" w:sz="4" w:space="0"/>
            </w:tcBorders>
            <w:shd w:val="clear" w:color="auto" w:fill="auto"/>
          </w:tcPr>
          <w:p>
            <w:pPr>
              <w:rPr>
                <w:highlight w:val="none"/>
              </w:rPr>
            </w:pPr>
            <w:r>
              <w:rPr>
                <w:rFonts w:hint="eastAsia"/>
                <w:highlight w:val="none"/>
              </w:rPr>
              <w:t xml:space="preserve">  公务用车运行维护费</w:t>
            </w:r>
          </w:p>
        </w:tc>
        <w:tc>
          <w:tcPr>
            <w:tcW w:w="942" w:type="dxa"/>
            <w:tcBorders>
              <w:top w:val="single" w:color="auto" w:sz="4" w:space="0"/>
              <w:left w:val="nil"/>
              <w:bottom w:val="single" w:color="auto" w:sz="4" w:space="0"/>
              <w:right w:val="single" w:color="auto" w:sz="4" w:space="0"/>
            </w:tcBorders>
            <w:shd w:val="clear" w:color="auto" w:fill="auto"/>
            <w:vAlign w:val="bottom"/>
          </w:tcPr>
          <w:p>
            <w:pPr>
              <w:widowControl/>
              <w:spacing w:line="240" w:lineRule="auto"/>
              <w:jc w:val="left"/>
              <w:rPr>
                <w:rFonts w:hint="default" w:ascii="Arial" w:hAnsi="Arial" w:eastAsia="宋体" w:cs="Arial"/>
                <w:color w:val="000000"/>
                <w:kern w:val="0"/>
                <w:sz w:val="20"/>
                <w:szCs w:val="20"/>
                <w:highlight w:val="none"/>
                <w:lang w:val="en-US" w:eastAsia="zh-CN"/>
              </w:rPr>
            </w:pPr>
            <w:r>
              <w:rPr>
                <w:rFonts w:ascii="Arial" w:hAnsi="Arial" w:eastAsia="宋体" w:cs="Arial"/>
                <w:color w:val="000000"/>
                <w:kern w:val="0"/>
                <w:sz w:val="20"/>
                <w:szCs w:val="20"/>
                <w:highlight w:val="none"/>
              </w:rPr>
              <w:t>　</w:t>
            </w:r>
            <w:r>
              <w:rPr>
                <w:rFonts w:hint="eastAsia" w:ascii="Arial" w:hAnsi="Arial" w:eastAsia="宋体" w:cs="Arial"/>
                <w:color w:val="000000"/>
                <w:kern w:val="0"/>
                <w:sz w:val="20"/>
                <w:szCs w:val="20"/>
                <w:highlight w:val="none"/>
                <w:lang w:val="en-US" w:eastAsia="zh-CN"/>
              </w:rPr>
              <w:t>1.61</w:t>
            </w:r>
          </w:p>
        </w:tc>
        <w:tc>
          <w:tcPr>
            <w:tcW w:w="749" w:type="dxa"/>
            <w:gridSpan w:val="2"/>
            <w:tcBorders>
              <w:top w:val="single" w:color="auto" w:sz="4" w:space="0"/>
              <w:left w:val="nil"/>
              <w:bottom w:val="single" w:color="auto" w:sz="4" w:space="0"/>
              <w:right w:val="single" w:color="auto" w:sz="4" w:space="0"/>
            </w:tcBorders>
            <w:shd w:val="clear" w:color="auto" w:fill="auto"/>
          </w:tcPr>
          <w:p>
            <w:pPr>
              <w:rPr>
                <w:highlight w:val="none"/>
              </w:rPr>
            </w:pPr>
            <w:r>
              <w:rPr>
                <w:rFonts w:hint="eastAsia"/>
                <w:highlight w:val="none"/>
              </w:rPr>
              <w:t>31299</w:t>
            </w:r>
          </w:p>
        </w:tc>
        <w:tc>
          <w:tcPr>
            <w:tcW w:w="1789" w:type="dxa"/>
            <w:gridSpan w:val="2"/>
            <w:tcBorders>
              <w:top w:val="single" w:color="auto" w:sz="4" w:space="0"/>
              <w:left w:val="nil"/>
              <w:bottom w:val="single" w:color="auto" w:sz="4" w:space="0"/>
              <w:right w:val="single" w:color="auto" w:sz="4" w:space="0"/>
            </w:tcBorders>
            <w:shd w:val="clear" w:color="auto" w:fill="auto"/>
          </w:tcPr>
          <w:p>
            <w:pPr>
              <w:rPr>
                <w:highlight w:val="none"/>
              </w:rPr>
            </w:pPr>
            <w:r>
              <w:rPr>
                <w:rFonts w:hint="eastAsia"/>
                <w:highlight w:val="none"/>
              </w:rPr>
              <w:t xml:space="preserve">  其他对企业补助</w:t>
            </w:r>
          </w:p>
        </w:tc>
        <w:tc>
          <w:tcPr>
            <w:tcW w:w="1125" w:type="dxa"/>
            <w:tcBorders>
              <w:top w:val="single" w:color="auto" w:sz="4" w:space="0"/>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r>
      <w:tr>
        <w:tblPrEx>
          <w:tblCellMar>
            <w:top w:w="0" w:type="dxa"/>
            <w:left w:w="108" w:type="dxa"/>
            <w:bottom w:w="0" w:type="dxa"/>
            <w:right w:w="108" w:type="dxa"/>
          </w:tblCellMar>
        </w:tblPrEx>
        <w:trPr>
          <w:trHeight w:val="391" w:hRule="atLeast"/>
        </w:trPr>
        <w:tc>
          <w:tcPr>
            <w:tcW w:w="749" w:type="dxa"/>
            <w:tcBorders>
              <w:top w:val="nil"/>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30311</w:t>
            </w:r>
          </w:p>
        </w:tc>
        <w:tc>
          <w:tcPr>
            <w:tcW w:w="1348" w:type="dxa"/>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代缴社会保险费</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749" w:type="dxa"/>
            <w:gridSpan w:val="3"/>
            <w:tcBorders>
              <w:top w:val="nil"/>
              <w:left w:val="nil"/>
              <w:bottom w:val="single" w:color="auto" w:sz="4" w:space="0"/>
              <w:right w:val="single" w:color="auto" w:sz="4" w:space="0"/>
            </w:tcBorders>
            <w:shd w:val="clear" w:color="auto" w:fill="auto"/>
          </w:tcPr>
          <w:p>
            <w:pPr>
              <w:rPr>
                <w:highlight w:val="none"/>
              </w:rPr>
            </w:pPr>
            <w:r>
              <w:rPr>
                <w:rFonts w:hint="eastAsia"/>
                <w:highlight w:val="none"/>
              </w:rPr>
              <w:t>30239</w:t>
            </w:r>
          </w:p>
        </w:tc>
        <w:tc>
          <w:tcPr>
            <w:tcW w:w="1458"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其他交通费用</w:t>
            </w:r>
          </w:p>
        </w:tc>
        <w:tc>
          <w:tcPr>
            <w:tcW w:w="94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74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399</w:t>
            </w:r>
          </w:p>
        </w:tc>
        <w:tc>
          <w:tcPr>
            <w:tcW w:w="178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其他支出</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587" w:hRule="atLeast"/>
        </w:trPr>
        <w:tc>
          <w:tcPr>
            <w:tcW w:w="7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hint="default" w:ascii="宋体" w:hAnsi="宋体" w:eastAsia="宋体" w:cs="Arial"/>
                <w:kern w:val="0"/>
                <w:sz w:val="20"/>
                <w:szCs w:val="20"/>
                <w:highlight w:val="none"/>
                <w:lang w:val="en-US" w:eastAsia="zh-CN"/>
              </w:rPr>
            </w:pPr>
            <w:r>
              <w:rPr>
                <w:rFonts w:hint="eastAsia" w:ascii="宋体" w:hAnsi="宋体" w:eastAsia="宋体" w:cs="Arial"/>
                <w:kern w:val="0"/>
                <w:sz w:val="20"/>
                <w:szCs w:val="20"/>
                <w:highlight w:val="none"/>
              </w:rPr>
              <w:t>　</w:t>
            </w:r>
            <w:r>
              <w:rPr>
                <w:rFonts w:hint="eastAsia" w:ascii="宋体" w:hAnsi="宋体" w:eastAsia="宋体" w:cs="Arial"/>
                <w:kern w:val="0"/>
                <w:sz w:val="20"/>
                <w:szCs w:val="20"/>
                <w:highlight w:val="none"/>
                <w:lang w:val="en-US" w:eastAsia="zh-CN"/>
              </w:rPr>
              <w:t>30312</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kern w:val="0"/>
                <w:sz w:val="20"/>
                <w:szCs w:val="20"/>
                <w:highlight w:val="none"/>
              </w:rPr>
            </w:pPr>
            <w:r>
              <w:rPr>
                <w:rFonts w:hint="eastAsia" w:ascii="宋体" w:hAnsi="宋体" w:eastAsia="宋体" w:cs="Arial"/>
                <w:kern w:val="0"/>
                <w:sz w:val="20"/>
                <w:szCs w:val="20"/>
                <w:highlight w:val="none"/>
              </w:rPr>
              <w:t>其他对个人和家庭的补助</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46.27</w:t>
            </w:r>
            <w:r>
              <w:rPr>
                <w:rFonts w:hint="eastAsia" w:ascii="宋体" w:hAnsi="宋体" w:eastAsia="宋体" w:cs="Arial"/>
                <w:color w:val="000000"/>
                <w:kern w:val="0"/>
                <w:sz w:val="22"/>
                <w:highlight w:val="none"/>
              </w:rPr>
              <w:t>　</w:t>
            </w:r>
          </w:p>
        </w:tc>
        <w:tc>
          <w:tcPr>
            <w:tcW w:w="749" w:type="dxa"/>
            <w:gridSpan w:val="3"/>
            <w:tcBorders>
              <w:top w:val="nil"/>
              <w:left w:val="nil"/>
              <w:bottom w:val="single" w:color="auto" w:sz="4" w:space="0"/>
              <w:right w:val="single" w:color="auto" w:sz="4" w:space="0"/>
            </w:tcBorders>
            <w:shd w:val="clear" w:color="auto" w:fill="auto"/>
          </w:tcPr>
          <w:p>
            <w:pPr>
              <w:rPr>
                <w:highlight w:val="none"/>
              </w:rPr>
            </w:pPr>
            <w:r>
              <w:rPr>
                <w:rFonts w:hint="eastAsia"/>
                <w:highlight w:val="none"/>
              </w:rPr>
              <w:t>30240</w:t>
            </w:r>
          </w:p>
        </w:tc>
        <w:tc>
          <w:tcPr>
            <w:tcW w:w="1458"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税金及附加费用</w:t>
            </w:r>
          </w:p>
        </w:tc>
        <w:tc>
          <w:tcPr>
            <w:tcW w:w="94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74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39906</w:t>
            </w:r>
          </w:p>
        </w:tc>
        <w:tc>
          <w:tcPr>
            <w:tcW w:w="178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赠与</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343" w:hRule="atLeast"/>
        </w:trPr>
        <w:tc>
          <w:tcPr>
            <w:tcW w:w="7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kern w:val="0"/>
                <w:sz w:val="20"/>
                <w:szCs w:val="20"/>
                <w:highlight w:val="none"/>
              </w:rPr>
            </w:pPr>
            <w:r>
              <w:rPr>
                <w:rFonts w:hint="eastAsia" w:ascii="宋体" w:hAnsi="宋体" w:eastAsia="宋体" w:cs="Arial"/>
                <w:kern w:val="0"/>
                <w:sz w:val="20"/>
                <w:szCs w:val="20"/>
                <w:highlight w:val="none"/>
              </w:rPr>
              <w:t>　</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kern w:val="0"/>
                <w:sz w:val="20"/>
                <w:szCs w:val="20"/>
                <w:highlight w:val="none"/>
              </w:rPr>
            </w:pPr>
            <w:r>
              <w:rPr>
                <w:rFonts w:hint="eastAsia" w:ascii="宋体" w:hAnsi="宋体" w:eastAsia="宋体" w:cs="Arial"/>
                <w:kern w:val="0"/>
                <w:sz w:val="20"/>
                <w:szCs w:val="20"/>
                <w:highlight w:val="none"/>
              </w:rPr>
              <w:t>　</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749" w:type="dxa"/>
            <w:gridSpan w:val="3"/>
            <w:tcBorders>
              <w:top w:val="nil"/>
              <w:left w:val="nil"/>
              <w:bottom w:val="single" w:color="auto" w:sz="4" w:space="0"/>
              <w:right w:val="single" w:color="auto" w:sz="4" w:space="0"/>
            </w:tcBorders>
            <w:shd w:val="clear" w:color="auto" w:fill="auto"/>
          </w:tcPr>
          <w:p>
            <w:pPr>
              <w:rPr>
                <w:highlight w:val="none"/>
              </w:rPr>
            </w:pPr>
            <w:r>
              <w:rPr>
                <w:rFonts w:hint="eastAsia"/>
                <w:highlight w:val="none"/>
              </w:rPr>
              <w:t>30299</w:t>
            </w:r>
          </w:p>
        </w:tc>
        <w:tc>
          <w:tcPr>
            <w:tcW w:w="1458"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其他商品和服务支出</w:t>
            </w:r>
          </w:p>
        </w:tc>
        <w:tc>
          <w:tcPr>
            <w:tcW w:w="94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hint="default" w:ascii="Arial" w:hAnsi="Arial" w:eastAsia="宋体" w:cs="Arial"/>
                <w:color w:val="000000"/>
                <w:kern w:val="0"/>
                <w:sz w:val="20"/>
                <w:szCs w:val="20"/>
                <w:highlight w:val="none"/>
                <w:lang w:val="en-US"/>
              </w:rPr>
            </w:pPr>
            <w:r>
              <w:rPr>
                <w:rFonts w:hint="eastAsia" w:ascii="Arial" w:hAnsi="Arial" w:eastAsia="宋体" w:cs="Arial"/>
                <w:color w:val="000000"/>
                <w:kern w:val="0"/>
                <w:sz w:val="20"/>
                <w:szCs w:val="20"/>
                <w:highlight w:val="none"/>
                <w:lang w:val="en-US" w:eastAsia="zh-CN"/>
              </w:rPr>
              <w:t>2.3</w:t>
            </w:r>
          </w:p>
        </w:tc>
        <w:tc>
          <w:tcPr>
            <w:tcW w:w="74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39907</w:t>
            </w:r>
          </w:p>
        </w:tc>
        <w:tc>
          <w:tcPr>
            <w:tcW w:w="178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国家赔偿费用支出</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kern w:val="0"/>
                <w:sz w:val="20"/>
                <w:szCs w:val="20"/>
                <w:highlight w:val="none"/>
              </w:rPr>
            </w:pP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kern w:val="0"/>
                <w:sz w:val="20"/>
                <w:szCs w:val="20"/>
                <w:highlight w:val="none"/>
              </w:rPr>
            </w:pP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p>
        </w:tc>
        <w:tc>
          <w:tcPr>
            <w:tcW w:w="749" w:type="dxa"/>
            <w:gridSpan w:val="3"/>
            <w:tcBorders>
              <w:top w:val="nil"/>
              <w:left w:val="nil"/>
              <w:bottom w:val="single" w:color="auto" w:sz="4" w:space="0"/>
              <w:right w:val="single" w:color="auto" w:sz="4" w:space="0"/>
            </w:tcBorders>
            <w:shd w:val="clear" w:color="auto" w:fill="auto"/>
          </w:tcPr>
          <w:p>
            <w:pPr>
              <w:rPr>
                <w:highlight w:val="none"/>
              </w:rPr>
            </w:pPr>
            <w:r>
              <w:rPr>
                <w:rFonts w:hint="eastAsia"/>
                <w:highlight w:val="none"/>
              </w:rPr>
              <w:t>307</w:t>
            </w:r>
          </w:p>
        </w:tc>
        <w:tc>
          <w:tcPr>
            <w:tcW w:w="1458"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债务利息及费用支出</w:t>
            </w:r>
          </w:p>
        </w:tc>
        <w:tc>
          <w:tcPr>
            <w:tcW w:w="94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74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39908</w:t>
            </w:r>
          </w:p>
        </w:tc>
        <w:tc>
          <w:tcPr>
            <w:tcW w:w="178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对民间非营利组织和群众性自治组织补贴</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220" w:hRule="atLeast"/>
        </w:trPr>
        <w:tc>
          <w:tcPr>
            <w:tcW w:w="74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kern w:val="0"/>
                <w:sz w:val="20"/>
                <w:szCs w:val="20"/>
                <w:highlight w:val="none"/>
              </w:rPr>
            </w:pPr>
            <w:r>
              <w:rPr>
                <w:rFonts w:hint="eastAsia" w:ascii="宋体" w:hAnsi="宋体" w:eastAsia="宋体" w:cs="Arial"/>
                <w:kern w:val="0"/>
                <w:sz w:val="20"/>
                <w:szCs w:val="20"/>
                <w:highlight w:val="none"/>
              </w:rPr>
              <w:t>　</w:t>
            </w:r>
          </w:p>
        </w:tc>
        <w:tc>
          <w:tcPr>
            <w:tcW w:w="1348"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kern w:val="0"/>
                <w:sz w:val="20"/>
                <w:szCs w:val="20"/>
                <w:highlight w:val="none"/>
              </w:rPr>
            </w:pPr>
            <w:r>
              <w:rPr>
                <w:rFonts w:hint="eastAsia" w:ascii="宋体" w:hAnsi="宋体" w:eastAsia="宋体" w:cs="Arial"/>
                <w:kern w:val="0"/>
                <w:sz w:val="20"/>
                <w:szCs w:val="20"/>
                <w:highlight w:val="none"/>
              </w:rPr>
              <w:t>　</w:t>
            </w:r>
          </w:p>
        </w:tc>
        <w:tc>
          <w:tcPr>
            <w:tcW w:w="1033"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749" w:type="dxa"/>
            <w:gridSpan w:val="3"/>
            <w:tcBorders>
              <w:top w:val="nil"/>
              <w:left w:val="nil"/>
              <w:bottom w:val="single" w:color="auto" w:sz="4" w:space="0"/>
              <w:right w:val="single" w:color="auto" w:sz="4" w:space="0"/>
            </w:tcBorders>
            <w:shd w:val="clear" w:color="auto" w:fill="auto"/>
          </w:tcPr>
          <w:p>
            <w:pPr>
              <w:rPr>
                <w:highlight w:val="none"/>
              </w:rPr>
            </w:pPr>
            <w:r>
              <w:rPr>
                <w:rFonts w:hint="eastAsia"/>
                <w:highlight w:val="none"/>
              </w:rPr>
              <w:t>30701</w:t>
            </w:r>
          </w:p>
        </w:tc>
        <w:tc>
          <w:tcPr>
            <w:tcW w:w="1458"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国内债务付息</w:t>
            </w:r>
          </w:p>
        </w:tc>
        <w:tc>
          <w:tcPr>
            <w:tcW w:w="942"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74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39999</w:t>
            </w:r>
          </w:p>
        </w:tc>
        <w:tc>
          <w:tcPr>
            <w:tcW w:w="1789" w:type="dxa"/>
            <w:gridSpan w:val="2"/>
            <w:tcBorders>
              <w:top w:val="nil"/>
              <w:left w:val="nil"/>
              <w:bottom w:val="single" w:color="auto" w:sz="4" w:space="0"/>
              <w:right w:val="single" w:color="auto" w:sz="4" w:space="0"/>
            </w:tcBorders>
            <w:shd w:val="clear" w:color="auto" w:fill="auto"/>
          </w:tcPr>
          <w:p>
            <w:pPr>
              <w:rPr>
                <w:highlight w:val="none"/>
              </w:rPr>
            </w:pPr>
            <w:r>
              <w:rPr>
                <w:rFonts w:hint="eastAsia"/>
                <w:highlight w:val="none"/>
              </w:rPr>
              <w:t xml:space="preserve">  其他支出</w:t>
            </w:r>
          </w:p>
        </w:tc>
        <w:tc>
          <w:tcPr>
            <w:tcW w:w="1125" w:type="dxa"/>
            <w:tcBorders>
              <w:top w:val="nil"/>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220" w:hRule="atLeast"/>
        </w:trPr>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kern w:val="0"/>
                <w:sz w:val="20"/>
                <w:szCs w:val="20"/>
                <w:highlight w:val="none"/>
              </w:rPr>
            </w:pPr>
            <w:r>
              <w:rPr>
                <w:rFonts w:hint="eastAsia" w:ascii="宋体" w:hAnsi="宋体" w:eastAsia="宋体" w:cs="Arial"/>
                <w:kern w:val="0"/>
                <w:sz w:val="20"/>
                <w:szCs w:val="20"/>
                <w:highlight w:val="none"/>
              </w:rPr>
              <w:t>　</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kern w:val="0"/>
                <w:sz w:val="20"/>
                <w:szCs w:val="20"/>
                <w:highlight w:val="none"/>
              </w:rPr>
            </w:pPr>
            <w:r>
              <w:rPr>
                <w:rFonts w:hint="eastAsia" w:ascii="宋体" w:hAnsi="宋体" w:eastAsia="宋体" w:cs="Arial"/>
                <w:kern w:val="0"/>
                <w:sz w:val="20"/>
                <w:szCs w:val="20"/>
                <w:highlight w:val="none"/>
              </w:rPr>
              <w:t>　</w:t>
            </w:r>
          </w:p>
        </w:tc>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749" w:type="dxa"/>
            <w:gridSpan w:val="3"/>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30702</w:t>
            </w:r>
          </w:p>
        </w:tc>
        <w:tc>
          <w:tcPr>
            <w:tcW w:w="1458" w:type="dxa"/>
            <w:gridSpan w:val="2"/>
            <w:tcBorders>
              <w:top w:val="single" w:color="auto" w:sz="4" w:space="0"/>
              <w:left w:val="single" w:color="auto" w:sz="4" w:space="0"/>
              <w:bottom w:val="single" w:color="auto" w:sz="4" w:space="0"/>
              <w:right w:val="single" w:color="auto" w:sz="4" w:space="0"/>
            </w:tcBorders>
            <w:shd w:val="clear" w:color="auto" w:fill="auto"/>
          </w:tcPr>
          <w:p>
            <w:pPr>
              <w:rPr>
                <w:highlight w:val="none"/>
              </w:rPr>
            </w:pPr>
            <w:r>
              <w:rPr>
                <w:rFonts w:hint="eastAsia"/>
                <w:highlight w:val="none"/>
              </w:rPr>
              <w:t xml:space="preserve">  国外债务付息</w:t>
            </w:r>
          </w:p>
        </w:tc>
        <w:tc>
          <w:tcPr>
            <w:tcW w:w="94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c>
          <w:tcPr>
            <w:tcW w:w="749" w:type="dxa"/>
            <w:gridSpan w:val="2"/>
            <w:tcBorders>
              <w:top w:val="single" w:color="auto" w:sz="4" w:space="0"/>
              <w:left w:val="single" w:color="auto" w:sz="4" w:space="0"/>
              <w:bottom w:val="single" w:color="auto" w:sz="4" w:space="0"/>
              <w:right w:val="single" w:color="auto" w:sz="4" w:space="0"/>
            </w:tcBorders>
            <w:shd w:val="clear" w:color="auto" w:fill="auto"/>
          </w:tcPr>
          <w:p>
            <w:pPr>
              <w:rPr>
                <w:highlight w:val="none"/>
              </w:rPr>
            </w:pPr>
          </w:p>
        </w:tc>
        <w:tc>
          <w:tcPr>
            <w:tcW w:w="1789" w:type="dxa"/>
            <w:gridSpan w:val="2"/>
            <w:tcBorders>
              <w:top w:val="single" w:color="auto" w:sz="4" w:space="0"/>
              <w:left w:val="single" w:color="auto" w:sz="4" w:space="0"/>
              <w:bottom w:val="single" w:color="auto" w:sz="4" w:space="0"/>
              <w:right w:val="single" w:color="auto" w:sz="4" w:space="0"/>
            </w:tcBorders>
            <w:shd w:val="clear" w:color="auto" w:fill="auto"/>
          </w:tcPr>
          <w:p>
            <w:pPr>
              <w:rPr>
                <w:highlight w:val="none"/>
              </w:rPr>
            </w:pPr>
          </w:p>
        </w:tc>
        <w:tc>
          <w:tcPr>
            <w:tcW w:w="112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ascii="Arial" w:hAnsi="Arial" w:eastAsia="宋体" w:cs="Arial"/>
                <w:color w:val="000000"/>
                <w:kern w:val="0"/>
                <w:sz w:val="20"/>
                <w:szCs w:val="20"/>
                <w:highlight w:val="none"/>
              </w:rPr>
              <w:t>　</w:t>
            </w:r>
          </w:p>
        </w:tc>
      </w:tr>
      <w:tr>
        <w:tblPrEx>
          <w:tblCellMar>
            <w:top w:w="0" w:type="dxa"/>
            <w:left w:w="108" w:type="dxa"/>
            <w:bottom w:w="0" w:type="dxa"/>
            <w:right w:w="108" w:type="dxa"/>
          </w:tblCellMar>
        </w:tblPrEx>
        <w:trPr>
          <w:trHeight w:val="220" w:hRule="atLeast"/>
        </w:trPr>
        <w:tc>
          <w:tcPr>
            <w:tcW w:w="20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人员经费合计</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lang w:val="en-US" w:eastAsia="zh-CN"/>
              </w:rPr>
              <w:t>818.16</w:t>
            </w:r>
            <w:r>
              <w:rPr>
                <w:rFonts w:hint="eastAsia" w:ascii="宋体" w:hAnsi="宋体" w:eastAsia="宋体" w:cs="Arial"/>
                <w:color w:val="000000"/>
                <w:kern w:val="0"/>
                <w:sz w:val="22"/>
                <w:highlight w:val="none"/>
              </w:rPr>
              <w:t>　</w:t>
            </w:r>
          </w:p>
        </w:tc>
        <w:tc>
          <w:tcPr>
            <w:tcW w:w="5687" w:type="dxa"/>
            <w:gridSpan w:val="10"/>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公用经费合计</w:t>
            </w:r>
          </w:p>
        </w:tc>
        <w:tc>
          <w:tcPr>
            <w:tcW w:w="1125" w:type="dxa"/>
            <w:tcBorders>
              <w:top w:val="single" w:color="auto" w:sz="4" w:space="0"/>
              <w:left w:val="nil"/>
              <w:bottom w:val="single" w:color="auto" w:sz="4" w:space="0"/>
              <w:right w:val="single" w:color="auto" w:sz="4" w:space="0"/>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r>
              <w:rPr>
                <w:rFonts w:hint="eastAsia" w:ascii="Arial" w:hAnsi="Arial" w:eastAsia="宋体" w:cs="Arial"/>
                <w:color w:val="000000"/>
                <w:kern w:val="0"/>
                <w:sz w:val="20"/>
                <w:szCs w:val="20"/>
                <w:highlight w:val="none"/>
                <w:lang w:val="en-US" w:eastAsia="zh-CN"/>
              </w:rPr>
              <w:t>281.02</w:t>
            </w:r>
            <w:r>
              <w:rPr>
                <w:rFonts w:ascii="Arial" w:hAnsi="Arial" w:eastAsia="宋体" w:cs="Arial"/>
                <w:color w:val="000000"/>
                <w:kern w:val="0"/>
                <w:sz w:val="20"/>
                <w:szCs w:val="20"/>
                <w:highlight w:val="none"/>
              </w:rPr>
              <w:t>　</w:t>
            </w:r>
          </w:p>
        </w:tc>
      </w:tr>
    </w:tbl>
    <w:p>
      <w:pPr>
        <w:pStyle w:val="7"/>
        <w:rPr>
          <w:rFonts w:ascii="Times New Roman" w:hAnsi="Times New Roman" w:cs="Times New Roman" w:eastAsiaTheme="minorEastAsia"/>
          <w:highlight w:val="none"/>
        </w:rPr>
      </w:pPr>
      <w:r>
        <w:rPr>
          <w:rFonts w:hint="eastAsia" w:ascii="Times New Roman" w:hAnsi="Times New Roman" w:cs="Times New Roman" w:eastAsiaTheme="minorEastAsia"/>
          <w:highlight w:val="none"/>
        </w:rPr>
        <w:t>注：本表反映单位本年度一般公共预算财政拨款基本支出明细情况。</w:t>
      </w:r>
    </w:p>
    <w:p>
      <w:pPr>
        <w:pStyle w:val="8"/>
        <w:numPr>
          <w:ilvl w:val="0"/>
          <w:numId w:val="1"/>
        </w:numPr>
        <w:ind w:firstLineChars="0"/>
        <w:jc w:val="left"/>
        <w:rPr>
          <w:rFonts w:ascii="黑体" w:hAnsi="仿宋" w:eastAsia="黑体"/>
          <w:sz w:val="32"/>
          <w:szCs w:val="32"/>
          <w:highlight w:val="none"/>
        </w:rPr>
      </w:pPr>
      <w:r>
        <w:rPr>
          <w:rFonts w:hint="eastAsia" w:ascii="黑体" w:hAnsi="仿宋" w:eastAsia="黑体"/>
          <w:sz w:val="32"/>
          <w:szCs w:val="32"/>
          <w:highlight w:val="none"/>
        </w:rPr>
        <w:t xml:space="preserve">一般公共预算财政拨款“三公”经费支出决算表 </w:t>
      </w:r>
    </w:p>
    <w:p>
      <w:pPr>
        <w:widowControl/>
        <w:spacing w:line="240" w:lineRule="auto"/>
        <w:jc w:val="center"/>
        <w:rPr>
          <w:rFonts w:ascii="黑体" w:hAnsi="Arial" w:eastAsia="黑体" w:cs="Arial"/>
          <w:color w:val="000000"/>
          <w:kern w:val="0"/>
          <w:sz w:val="36"/>
          <w:szCs w:val="36"/>
          <w:highlight w:val="none"/>
        </w:rPr>
      </w:pPr>
      <w:r>
        <w:rPr>
          <w:rFonts w:hint="eastAsia" w:ascii="黑体" w:hAnsi="Arial" w:eastAsia="黑体" w:cs="Arial"/>
          <w:color w:val="000000"/>
          <w:kern w:val="0"/>
          <w:sz w:val="36"/>
          <w:szCs w:val="36"/>
          <w:highlight w:val="none"/>
        </w:rPr>
        <w:t>一般公共预算财政拨款“三公”经费支出决算表</w:t>
      </w:r>
    </w:p>
    <w:tbl>
      <w:tblPr>
        <w:tblStyle w:val="5"/>
        <w:tblW w:w="8375" w:type="dxa"/>
        <w:jc w:val="center"/>
        <w:tblLayout w:type="fixed"/>
        <w:tblCellMar>
          <w:top w:w="0" w:type="dxa"/>
          <w:left w:w="108" w:type="dxa"/>
          <w:bottom w:w="0" w:type="dxa"/>
          <w:right w:w="108" w:type="dxa"/>
        </w:tblCellMar>
      </w:tblPr>
      <w:tblGrid>
        <w:gridCol w:w="4180"/>
        <w:gridCol w:w="780"/>
        <w:gridCol w:w="3415"/>
      </w:tblGrid>
      <w:tr>
        <w:tblPrEx>
          <w:tblCellMar>
            <w:top w:w="0" w:type="dxa"/>
            <w:left w:w="108" w:type="dxa"/>
            <w:bottom w:w="0" w:type="dxa"/>
            <w:right w:w="108" w:type="dxa"/>
          </w:tblCellMar>
        </w:tblPrEx>
        <w:trPr>
          <w:trHeight w:val="405" w:hRule="atLeast"/>
          <w:jc w:val="center"/>
        </w:trPr>
        <w:tc>
          <w:tcPr>
            <w:tcW w:w="4180" w:type="dxa"/>
            <w:tcBorders>
              <w:top w:val="nil"/>
              <w:left w:val="nil"/>
              <w:bottom w:val="nil"/>
              <w:right w:val="nil"/>
            </w:tcBorders>
            <w:shd w:val="clear" w:color="auto" w:fill="auto"/>
            <w:vAlign w:val="center"/>
          </w:tcPr>
          <w:p>
            <w:pPr>
              <w:widowControl/>
              <w:spacing w:line="240" w:lineRule="auto"/>
              <w:jc w:val="center"/>
              <w:rPr>
                <w:rFonts w:ascii="黑体" w:hAnsi="宋体" w:eastAsia="黑体" w:cs="宋体"/>
                <w:kern w:val="0"/>
                <w:sz w:val="38"/>
                <w:szCs w:val="38"/>
                <w:highlight w:val="none"/>
              </w:rPr>
            </w:pPr>
          </w:p>
        </w:tc>
        <w:tc>
          <w:tcPr>
            <w:tcW w:w="780" w:type="dxa"/>
            <w:tcBorders>
              <w:top w:val="nil"/>
              <w:left w:val="nil"/>
              <w:bottom w:val="nil"/>
              <w:right w:val="nil"/>
            </w:tcBorders>
            <w:shd w:val="clear" w:color="auto" w:fill="auto"/>
            <w:vAlign w:val="center"/>
          </w:tcPr>
          <w:p>
            <w:pPr>
              <w:widowControl/>
              <w:spacing w:line="240" w:lineRule="auto"/>
              <w:jc w:val="center"/>
              <w:rPr>
                <w:rFonts w:ascii="黑体" w:hAnsi="宋体" w:eastAsia="黑体" w:cs="宋体"/>
                <w:kern w:val="0"/>
                <w:sz w:val="38"/>
                <w:szCs w:val="38"/>
                <w:highlight w:val="none"/>
              </w:rPr>
            </w:pPr>
          </w:p>
        </w:tc>
        <w:tc>
          <w:tcPr>
            <w:tcW w:w="3415" w:type="dxa"/>
            <w:tcBorders>
              <w:top w:val="nil"/>
              <w:left w:val="nil"/>
              <w:bottom w:val="nil"/>
              <w:right w:val="nil"/>
            </w:tcBorders>
            <w:shd w:val="clear" w:color="000000" w:fill="FFFFFF"/>
            <w:vAlign w:val="bottom"/>
          </w:tcPr>
          <w:p>
            <w:pPr>
              <w:widowControl/>
              <w:spacing w:line="240" w:lineRule="auto"/>
              <w:jc w:val="right"/>
              <w:rPr>
                <w:rFonts w:ascii="宋体" w:hAnsi="宋体" w:eastAsia="宋体" w:cs="宋体"/>
                <w:kern w:val="0"/>
                <w:sz w:val="24"/>
                <w:szCs w:val="24"/>
                <w:highlight w:val="none"/>
              </w:rPr>
            </w:pPr>
            <w:r>
              <w:rPr>
                <w:rFonts w:hint="eastAsia" w:ascii="宋体" w:hAnsi="宋体" w:eastAsia="宋体" w:cs="宋体"/>
                <w:kern w:val="0"/>
                <w:sz w:val="24"/>
                <w:szCs w:val="24"/>
                <w:highlight w:val="none"/>
              </w:rPr>
              <w:t>公开07表</w:t>
            </w:r>
          </w:p>
        </w:tc>
      </w:tr>
      <w:tr>
        <w:tblPrEx>
          <w:tblCellMar>
            <w:top w:w="0" w:type="dxa"/>
            <w:left w:w="108" w:type="dxa"/>
            <w:bottom w:w="0" w:type="dxa"/>
            <w:right w:w="108" w:type="dxa"/>
          </w:tblCellMar>
        </w:tblPrEx>
        <w:trPr>
          <w:trHeight w:val="375" w:hRule="atLeast"/>
          <w:jc w:val="center"/>
        </w:trPr>
        <w:tc>
          <w:tcPr>
            <w:tcW w:w="4180"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单位：</w:t>
            </w:r>
          </w:p>
        </w:tc>
        <w:tc>
          <w:tcPr>
            <w:tcW w:w="780" w:type="dxa"/>
            <w:tcBorders>
              <w:top w:val="nil"/>
              <w:left w:val="nil"/>
              <w:bottom w:val="nil"/>
              <w:right w:val="nil"/>
            </w:tcBorders>
            <w:shd w:val="clear" w:color="auto" w:fill="auto"/>
            <w:vAlign w:val="center"/>
          </w:tcPr>
          <w:p>
            <w:pPr>
              <w:widowControl/>
              <w:spacing w:line="240" w:lineRule="auto"/>
              <w:jc w:val="left"/>
              <w:rPr>
                <w:rFonts w:ascii="宋体" w:hAnsi="宋体" w:eastAsia="宋体" w:cs="宋体"/>
                <w:color w:val="000000"/>
                <w:kern w:val="0"/>
                <w:sz w:val="22"/>
                <w:highlight w:val="none"/>
              </w:rPr>
            </w:pPr>
          </w:p>
        </w:tc>
        <w:tc>
          <w:tcPr>
            <w:tcW w:w="3415" w:type="dxa"/>
            <w:tcBorders>
              <w:top w:val="nil"/>
              <w:left w:val="nil"/>
              <w:bottom w:val="nil"/>
              <w:right w:val="nil"/>
            </w:tcBorders>
            <w:shd w:val="clear" w:color="auto" w:fill="auto"/>
            <w:vAlign w:val="center"/>
          </w:tcPr>
          <w:p>
            <w:pPr>
              <w:widowControl/>
              <w:spacing w:line="240" w:lineRule="auto"/>
              <w:jc w:val="righ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单位：万元</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项目</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行次</w:t>
            </w:r>
          </w:p>
        </w:tc>
        <w:tc>
          <w:tcPr>
            <w:tcW w:w="341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决算数</w:t>
            </w:r>
          </w:p>
        </w:tc>
      </w:tr>
      <w:tr>
        <w:tblPrEx>
          <w:tblCellMar>
            <w:top w:w="0" w:type="dxa"/>
            <w:left w:w="108" w:type="dxa"/>
            <w:bottom w:w="0" w:type="dxa"/>
            <w:right w:w="108" w:type="dxa"/>
          </w:tblCellMar>
        </w:tblPrEx>
        <w:trPr>
          <w:trHeight w:val="615" w:hRule="atLeast"/>
          <w:jc w:val="center"/>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合计</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3415"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lang w:val="en-US" w:eastAsia="zh-CN"/>
              </w:rPr>
              <w:t>2.47</w:t>
            </w: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 因公出国（境）费</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 公务用车购置及运行维护费</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w:t>
            </w:r>
          </w:p>
        </w:tc>
        <w:tc>
          <w:tcPr>
            <w:tcW w:w="341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lang w:val="en-US" w:eastAsia="zh-CN"/>
              </w:rPr>
              <w:t>1.61</w:t>
            </w: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xml:space="preserve">    其中：（1）公务用车购置费</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4</w:t>
            </w:r>
          </w:p>
        </w:tc>
        <w:tc>
          <w:tcPr>
            <w:tcW w:w="34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trHeight w:val="615" w:hRule="atLeast"/>
          <w:jc w:val="center"/>
        </w:trPr>
        <w:tc>
          <w:tcPr>
            <w:tcW w:w="4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xml:space="preserve">          （2）公务用车运行维护费</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5</w:t>
            </w:r>
          </w:p>
        </w:tc>
        <w:tc>
          <w:tcPr>
            <w:tcW w:w="341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lang w:val="en-US" w:eastAsia="zh-CN"/>
              </w:rPr>
              <w:t>1.61</w:t>
            </w: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trHeight w:val="615" w:hRule="atLeast"/>
          <w:jc w:val="center"/>
        </w:trPr>
        <w:tc>
          <w:tcPr>
            <w:tcW w:w="41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 公务接待费</w:t>
            </w:r>
          </w:p>
        </w:tc>
        <w:tc>
          <w:tcPr>
            <w:tcW w:w="780"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6</w:t>
            </w:r>
          </w:p>
        </w:tc>
        <w:tc>
          <w:tcPr>
            <w:tcW w:w="3415" w:type="dxa"/>
            <w:tcBorders>
              <w:top w:val="nil"/>
              <w:left w:val="nil"/>
              <w:bottom w:val="single" w:color="auto" w:sz="4" w:space="0"/>
              <w:right w:val="single" w:color="auto" w:sz="4" w:space="0"/>
            </w:tcBorders>
            <w:shd w:val="clear" w:color="auto" w:fill="auto"/>
            <w:vAlign w:val="center"/>
          </w:tcPr>
          <w:p>
            <w:pPr>
              <w:widowControl/>
              <w:spacing w:line="240" w:lineRule="auto"/>
              <w:jc w:val="righ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lang w:val="en-US" w:eastAsia="zh-CN"/>
              </w:rPr>
              <w:t>0.86</w:t>
            </w:r>
            <w:r>
              <w:rPr>
                <w:rFonts w:hint="eastAsia" w:ascii="宋体" w:hAnsi="宋体" w:eastAsia="宋体" w:cs="宋体"/>
                <w:color w:val="000000"/>
                <w:kern w:val="0"/>
                <w:sz w:val="22"/>
                <w:highlight w:val="none"/>
              </w:rPr>
              <w:t>　</w:t>
            </w:r>
          </w:p>
        </w:tc>
      </w:tr>
      <w:tr>
        <w:tblPrEx>
          <w:tblCellMar>
            <w:top w:w="0" w:type="dxa"/>
            <w:left w:w="108" w:type="dxa"/>
            <w:bottom w:w="0" w:type="dxa"/>
            <w:right w:w="108" w:type="dxa"/>
          </w:tblCellMar>
        </w:tblPrEx>
        <w:trPr>
          <w:trHeight w:val="495" w:hRule="atLeast"/>
          <w:jc w:val="center"/>
        </w:trPr>
        <w:tc>
          <w:tcPr>
            <w:tcW w:w="8375" w:type="dxa"/>
            <w:gridSpan w:val="3"/>
            <w:tcBorders>
              <w:top w:val="single" w:color="auto" w:sz="4" w:space="0"/>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注：本表反映单位本年度“三公”经费支出决算情况，包括当年一般公共预算财政拨款和以前年度结转资金安排的实际支出。</w:t>
            </w:r>
          </w:p>
        </w:tc>
      </w:tr>
    </w:tbl>
    <w:p>
      <w:pPr>
        <w:pStyle w:val="7"/>
        <w:rPr>
          <w:rFonts w:ascii="Times New Roman" w:hAnsi="Times New Roman" w:cs="Times New Roman" w:eastAsiaTheme="minorEastAsia"/>
          <w:highlight w:val="none"/>
        </w:rPr>
      </w:pPr>
    </w:p>
    <w:p>
      <w:pPr>
        <w:jc w:val="left"/>
        <w:rPr>
          <w:rFonts w:ascii="黑体" w:hAnsi="仿宋" w:eastAsia="黑体"/>
          <w:sz w:val="32"/>
          <w:szCs w:val="32"/>
          <w:highlight w:val="none"/>
        </w:rPr>
      </w:pPr>
      <w:r>
        <w:rPr>
          <w:rFonts w:hint="eastAsia" w:ascii="黑体" w:hAnsi="仿宋" w:eastAsia="黑体"/>
          <w:sz w:val="32"/>
          <w:szCs w:val="32"/>
          <w:highlight w:val="none"/>
        </w:rPr>
        <w:t xml:space="preserve">八、政府性基金预算财政拨款收入支出决算表 </w:t>
      </w:r>
    </w:p>
    <w:tbl>
      <w:tblPr>
        <w:tblStyle w:val="5"/>
        <w:tblW w:w="9168" w:type="dxa"/>
        <w:tblInd w:w="93" w:type="dxa"/>
        <w:tblLayout w:type="fixed"/>
        <w:tblCellMar>
          <w:top w:w="0" w:type="dxa"/>
          <w:left w:w="108" w:type="dxa"/>
          <w:bottom w:w="0" w:type="dxa"/>
          <w:right w:w="108" w:type="dxa"/>
        </w:tblCellMar>
      </w:tblPr>
      <w:tblGrid>
        <w:gridCol w:w="436"/>
        <w:gridCol w:w="436"/>
        <w:gridCol w:w="436"/>
        <w:gridCol w:w="1280"/>
        <w:gridCol w:w="1000"/>
        <w:gridCol w:w="1020"/>
        <w:gridCol w:w="1020"/>
        <w:gridCol w:w="1160"/>
        <w:gridCol w:w="1150"/>
        <w:gridCol w:w="1230"/>
      </w:tblGrid>
      <w:tr>
        <w:tblPrEx>
          <w:tblCellMar>
            <w:top w:w="0" w:type="dxa"/>
            <w:left w:w="108" w:type="dxa"/>
            <w:bottom w:w="0" w:type="dxa"/>
            <w:right w:w="108" w:type="dxa"/>
          </w:tblCellMar>
        </w:tblPrEx>
        <w:trPr>
          <w:trHeight w:val="735" w:hRule="atLeast"/>
        </w:trPr>
        <w:tc>
          <w:tcPr>
            <w:tcW w:w="9168" w:type="dxa"/>
            <w:gridSpan w:val="10"/>
            <w:tcBorders>
              <w:top w:val="nil"/>
              <w:left w:val="nil"/>
              <w:bottom w:val="nil"/>
              <w:right w:val="nil"/>
            </w:tcBorders>
            <w:shd w:val="clear" w:color="auto" w:fill="auto"/>
            <w:vAlign w:val="center"/>
          </w:tcPr>
          <w:p>
            <w:pPr>
              <w:widowControl/>
              <w:spacing w:line="240" w:lineRule="auto"/>
              <w:jc w:val="center"/>
              <w:rPr>
                <w:rFonts w:ascii="宋体" w:hAnsi="宋体" w:eastAsia="宋体" w:cs="Arial"/>
                <w:color w:val="000000"/>
                <w:kern w:val="0"/>
                <w:sz w:val="44"/>
                <w:szCs w:val="44"/>
                <w:highlight w:val="none"/>
              </w:rPr>
            </w:pPr>
            <w:r>
              <w:rPr>
                <w:rFonts w:hint="eastAsia" w:ascii="黑体" w:hAnsi="Arial" w:eastAsia="黑体" w:cs="Arial"/>
                <w:color w:val="000000"/>
                <w:kern w:val="0"/>
                <w:sz w:val="36"/>
                <w:szCs w:val="36"/>
                <w:highlight w:val="none"/>
              </w:rPr>
              <w:t>政府性基金预算财政拨款收入支出决算表</w:t>
            </w:r>
          </w:p>
        </w:tc>
      </w:tr>
      <w:tr>
        <w:tblPrEx>
          <w:tblCellMar>
            <w:top w:w="0" w:type="dxa"/>
            <w:left w:w="108" w:type="dxa"/>
            <w:bottom w:w="0" w:type="dxa"/>
            <w:right w:w="108" w:type="dxa"/>
          </w:tblCellMar>
        </w:tblPrEx>
        <w:trPr>
          <w:trHeight w:val="300" w:hRule="atLeast"/>
        </w:trPr>
        <w:tc>
          <w:tcPr>
            <w:tcW w:w="436"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436"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436"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1280"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1000"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1020"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1020"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1160"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1150"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1230" w:type="dxa"/>
            <w:tcBorders>
              <w:top w:val="nil"/>
              <w:left w:val="nil"/>
              <w:bottom w:val="nil"/>
              <w:right w:val="nil"/>
            </w:tcBorders>
            <w:shd w:val="clear" w:color="auto" w:fill="auto"/>
            <w:vAlign w:val="bottom"/>
          </w:tcPr>
          <w:p>
            <w:pPr>
              <w:widowControl/>
              <w:spacing w:line="240" w:lineRule="auto"/>
              <w:jc w:val="right"/>
              <w:rPr>
                <w:rFonts w:ascii="宋体" w:hAnsi="宋体" w:eastAsia="宋体" w:cs="Arial"/>
                <w:color w:val="000000"/>
                <w:kern w:val="0"/>
                <w:sz w:val="24"/>
                <w:szCs w:val="24"/>
                <w:highlight w:val="none"/>
              </w:rPr>
            </w:pPr>
            <w:r>
              <w:rPr>
                <w:rFonts w:hint="eastAsia" w:ascii="宋体" w:hAnsi="宋体" w:eastAsia="宋体" w:cs="Arial"/>
                <w:kern w:val="0"/>
                <w:sz w:val="20"/>
                <w:szCs w:val="20"/>
                <w:highlight w:val="none"/>
              </w:rPr>
              <w:t>公开08表</w:t>
            </w:r>
          </w:p>
        </w:tc>
      </w:tr>
      <w:tr>
        <w:tblPrEx>
          <w:tblCellMar>
            <w:top w:w="0" w:type="dxa"/>
            <w:left w:w="108" w:type="dxa"/>
            <w:bottom w:w="0" w:type="dxa"/>
            <w:right w:w="108" w:type="dxa"/>
          </w:tblCellMar>
        </w:tblPrEx>
        <w:trPr>
          <w:trHeight w:val="315" w:hRule="atLeast"/>
        </w:trPr>
        <w:tc>
          <w:tcPr>
            <w:tcW w:w="2588" w:type="dxa"/>
            <w:gridSpan w:val="4"/>
            <w:tcBorders>
              <w:top w:val="nil"/>
              <w:left w:val="nil"/>
              <w:bottom w:val="nil"/>
              <w:right w:val="nil"/>
            </w:tcBorders>
            <w:shd w:val="clear" w:color="auto" w:fill="auto"/>
            <w:vAlign w:val="bottom"/>
          </w:tcPr>
          <w:p>
            <w:pPr>
              <w:widowControl/>
              <w:spacing w:line="240" w:lineRule="auto"/>
              <w:jc w:val="left"/>
              <w:rPr>
                <w:rFonts w:ascii="宋体" w:hAnsi="宋体" w:eastAsia="宋体" w:cs="Arial"/>
                <w:color w:val="000000"/>
                <w:kern w:val="0"/>
                <w:sz w:val="24"/>
                <w:szCs w:val="24"/>
                <w:highlight w:val="none"/>
              </w:rPr>
            </w:pPr>
            <w:r>
              <w:rPr>
                <w:rFonts w:hint="eastAsia" w:ascii="宋体" w:hAnsi="宋体" w:eastAsia="宋体" w:cs="Arial"/>
                <w:color w:val="000000"/>
                <w:kern w:val="0"/>
                <w:sz w:val="24"/>
                <w:szCs w:val="24"/>
                <w:highlight w:val="none"/>
              </w:rPr>
              <w:t>单位：</w:t>
            </w:r>
          </w:p>
        </w:tc>
        <w:tc>
          <w:tcPr>
            <w:tcW w:w="1000"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1020" w:type="dxa"/>
            <w:tcBorders>
              <w:top w:val="nil"/>
              <w:left w:val="nil"/>
              <w:bottom w:val="nil"/>
              <w:right w:val="nil"/>
            </w:tcBorders>
            <w:shd w:val="clear" w:color="auto" w:fill="auto"/>
            <w:vAlign w:val="bottom"/>
          </w:tcPr>
          <w:p>
            <w:pPr>
              <w:widowControl/>
              <w:spacing w:line="240" w:lineRule="auto"/>
              <w:jc w:val="center"/>
              <w:rPr>
                <w:rFonts w:ascii="宋体" w:hAnsi="宋体" w:eastAsia="宋体" w:cs="Arial"/>
                <w:color w:val="000000"/>
                <w:kern w:val="0"/>
                <w:sz w:val="24"/>
                <w:szCs w:val="24"/>
                <w:highlight w:val="none"/>
              </w:rPr>
            </w:pPr>
          </w:p>
        </w:tc>
        <w:tc>
          <w:tcPr>
            <w:tcW w:w="1020"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1160" w:type="dxa"/>
            <w:tcBorders>
              <w:top w:val="nil"/>
              <w:left w:val="nil"/>
              <w:bottom w:val="nil"/>
              <w:right w:val="nil"/>
            </w:tcBorders>
            <w:shd w:val="clear" w:color="auto" w:fill="auto"/>
            <w:vAlign w:val="bottom"/>
          </w:tcPr>
          <w:p>
            <w:pPr>
              <w:widowControl/>
              <w:spacing w:line="240" w:lineRule="auto"/>
              <w:jc w:val="left"/>
              <w:rPr>
                <w:rFonts w:ascii="Arial" w:hAnsi="Arial" w:eastAsia="宋体" w:cs="Arial"/>
                <w:color w:val="000000"/>
                <w:kern w:val="0"/>
                <w:sz w:val="20"/>
                <w:szCs w:val="20"/>
                <w:highlight w:val="none"/>
              </w:rPr>
            </w:pPr>
          </w:p>
        </w:tc>
        <w:tc>
          <w:tcPr>
            <w:tcW w:w="2380" w:type="dxa"/>
            <w:gridSpan w:val="2"/>
            <w:tcBorders>
              <w:top w:val="nil"/>
              <w:left w:val="nil"/>
              <w:bottom w:val="nil"/>
              <w:right w:val="nil"/>
            </w:tcBorders>
            <w:shd w:val="clear" w:color="auto" w:fill="auto"/>
            <w:vAlign w:val="bottom"/>
          </w:tcPr>
          <w:p>
            <w:pPr>
              <w:widowControl/>
              <w:spacing w:line="240" w:lineRule="auto"/>
              <w:jc w:val="right"/>
              <w:rPr>
                <w:rFonts w:ascii="宋体" w:hAnsi="宋体" w:eastAsia="宋体" w:cs="Arial"/>
                <w:color w:val="000000"/>
                <w:kern w:val="0"/>
                <w:sz w:val="24"/>
                <w:szCs w:val="24"/>
                <w:highlight w:val="none"/>
              </w:rPr>
            </w:pPr>
            <w:r>
              <w:rPr>
                <w:rFonts w:hint="eastAsia" w:ascii="宋体" w:hAnsi="宋体" w:eastAsia="宋体" w:cs="Arial"/>
                <w:color w:val="000000"/>
                <w:kern w:val="0"/>
                <w:sz w:val="24"/>
                <w:szCs w:val="24"/>
                <w:highlight w:val="none"/>
              </w:rPr>
              <w:t>单位：万元</w:t>
            </w:r>
          </w:p>
        </w:tc>
      </w:tr>
      <w:tr>
        <w:tblPrEx>
          <w:tblCellMar>
            <w:top w:w="0" w:type="dxa"/>
            <w:left w:w="108" w:type="dxa"/>
            <w:bottom w:w="0" w:type="dxa"/>
            <w:right w:w="108" w:type="dxa"/>
          </w:tblCellMar>
        </w:tblPrEx>
        <w:trPr>
          <w:trHeight w:val="308" w:hRule="atLeast"/>
        </w:trPr>
        <w:tc>
          <w:tcPr>
            <w:tcW w:w="2588"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项目</w:t>
            </w:r>
          </w:p>
        </w:tc>
        <w:tc>
          <w:tcPr>
            <w:tcW w:w="100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年初结转和结余</w:t>
            </w:r>
          </w:p>
        </w:tc>
        <w:tc>
          <w:tcPr>
            <w:tcW w:w="102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本年收入</w:t>
            </w:r>
          </w:p>
        </w:tc>
        <w:tc>
          <w:tcPr>
            <w:tcW w:w="3330" w:type="dxa"/>
            <w:gridSpan w:val="3"/>
            <w:tcBorders>
              <w:top w:val="single" w:color="000000" w:sz="8"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本年支出</w:t>
            </w:r>
          </w:p>
        </w:tc>
        <w:tc>
          <w:tcPr>
            <w:tcW w:w="1230"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年末结转和结余</w:t>
            </w:r>
          </w:p>
        </w:tc>
      </w:tr>
      <w:tr>
        <w:tblPrEx>
          <w:tblCellMar>
            <w:top w:w="0" w:type="dxa"/>
            <w:left w:w="108" w:type="dxa"/>
            <w:bottom w:w="0" w:type="dxa"/>
            <w:right w:w="108" w:type="dxa"/>
          </w:tblCellMar>
        </w:tblPrEx>
        <w:trPr>
          <w:trHeight w:val="312" w:hRule="atLeast"/>
        </w:trPr>
        <w:tc>
          <w:tcPr>
            <w:tcW w:w="130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支出功能分类科目编码</w:t>
            </w:r>
          </w:p>
        </w:tc>
        <w:tc>
          <w:tcPr>
            <w:tcW w:w="1280" w:type="dxa"/>
            <w:vMerge w:val="restart"/>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科目名称</w:t>
            </w:r>
          </w:p>
        </w:tc>
        <w:tc>
          <w:tcPr>
            <w:tcW w:w="100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102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1020" w:type="dxa"/>
            <w:vMerge w:val="restart"/>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小计</w:t>
            </w:r>
          </w:p>
        </w:tc>
        <w:tc>
          <w:tcPr>
            <w:tcW w:w="1160" w:type="dxa"/>
            <w:vMerge w:val="restart"/>
            <w:tcBorders>
              <w:top w:val="nil"/>
              <w:left w:val="single" w:color="000000" w:sz="4" w:space="0"/>
              <w:bottom w:val="nil"/>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基本支出</w:t>
            </w:r>
          </w:p>
        </w:tc>
        <w:tc>
          <w:tcPr>
            <w:tcW w:w="1150" w:type="dxa"/>
            <w:vMerge w:val="restart"/>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项目支出</w:t>
            </w:r>
          </w:p>
        </w:tc>
        <w:tc>
          <w:tcPr>
            <w:tcW w:w="123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128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100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102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102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1160" w:type="dxa"/>
            <w:vMerge w:val="continue"/>
            <w:tcBorders>
              <w:top w:val="nil"/>
              <w:left w:val="single" w:color="000000" w:sz="4" w:space="0"/>
              <w:bottom w:val="nil"/>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1150"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1230" w:type="dxa"/>
            <w:vMerge w:val="continue"/>
            <w:tcBorders>
              <w:top w:val="single" w:color="000000" w:sz="8" w:space="0"/>
              <w:left w:val="single" w:color="000000" w:sz="4"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r>
      <w:tr>
        <w:tblPrEx>
          <w:tblCellMar>
            <w:top w:w="0" w:type="dxa"/>
            <w:left w:w="108" w:type="dxa"/>
            <w:bottom w:w="0" w:type="dxa"/>
            <w:right w:w="108" w:type="dxa"/>
          </w:tblCellMar>
        </w:tblPrEx>
        <w:trPr>
          <w:trHeight w:val="308" w:hRule="atLeast"/>
        </w:trPr>
        <w:tc>
          <w:tcPr>
            <w:tcW w:w="43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类</w:t>
            </w:r>
          </w:p>
        </w:tc>
        <w:tc>
          <w:tcPr>
            <w:tcW w:w="436" w:type="dxa"/>
            <w:vMerge w:val="restart"/>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款</w:t>
            </w:r>
          </w:p>
        </w:tc>
        <w:tc>
          <w:tcPr>
            <w:tcW w:w="436" w:type="dxa"/>
            <w:vMerge w:val="restart"/>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项</w:t>
            </w:r>
          </w:p>
        </w:tc>
        <w:tc>
          <w:tcPr>
            <w:tcW w:w="1280"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栏次</w:t>
            </w:r>
          </w:p>
        </w:tc>
        <w:tc>
          <w:tcPr>
            <w:tcW w:w="1000"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1</w:t>
            </w:r>
          </w:p>
        </w:tc>
        <w:tc>
          <w:tcPr>
            <w:tcW w:w="1020"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4</w:t>
            </w:r>
          </w:p>
        </w:tc>
        <w:tc>
          <w:tcPr>
            <w:tcW w:w="1020"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7</w:t>
            </w:r>
          </w:p>
        </w:tc>
        <w:tc>
          <w:tcPr>
            <w:tcW w:w="116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8</w:t>
            </w:r>
          </w:p>
        </w:tc>
        <w:tc>
          <w:tcPr>
            <w:tcW w:w="1150"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11</w:t>
            </w:r>
          </w:p>
        </w:tc>
        <w:tc>
          <w:tcPr>
            <w:tcW w:w="1230"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12</w:t>
            </w:r>
          </w:p>
        </w:tc>
      </w:tr>
      <w:tr>
        <w:tblPrEx>
          <w:tblCellMar>
            <w:top w:w="0" w:type="dxa"/>
            <w:left w:w="108" w:type="dxa"/>
            <w:bottom w:w="0" w:type="dxa"/>
            <w:right w:w="108" w:type="dxa"/>
          </w:tblCellMar>
        </w:tblPrEx>
        <w:trPr>
          <w:trHeight w:val="308" w:hRule="atLeast"/>
        </w:trPr>
        <w:tc>
          <w:tcPr>
            <w:tcW w:w="436" w:type="dxa"/>
            <w:vMerge w:val="continue"/>
            <w:tcBorders>
              <w:top w:val="nil"/>
              <w:left w:val="single" w:color="000000" w:sz="8" w:space="0"/>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436"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436" w:type="dxa"/>
            <w:vMerge w:val="continue"/>
            <w:tcBorders>
              <w:top w:val="nil"/>
              <w:left w:val="nil"/>
              <w:bottom w:val="single" w:color="000000" w:sz="4" w:space="0"/>
              <w:right w:val="single" w:color="000000" w:sz="4" w:space="0"/>
            </w:tcBorders>
            <w:vAlign w:val="center"/>
          </w:tcPr>
          <w:p>
            <w:pPr>
              <w:widowControl/>
              <w:spacing w:line="240" w:lineRule="auto"/>
              <w:jc w:val="left"/>
              <w:rPr>
                <w:rFonts w:ascii="宋体" w:hAnsi="宋体" w:eastAsia="宋体" w:cs="Arial"/>
                <w:color w:val="000000"/>
                <w:kern w:val="0"/>
                <w:sz w:val="22"/>
                <w:highlight w:val="none"/>
              </w:rPr>
            </w:pPr>
          </w:p>
        </w:tc>
        <w:tc>
          <w:tcPr>
            <w:tcW w:w="1280" w:type="dxa"/>
            <w:tcBorders>
              <w:top w:val="nil"/>
              <w:left w:val="nil"/>
              <w:bottom w:val="single" w:color="000000" w:sz="4" w:space="0"/>
              <w:right w:val="single" w:color="000000" w:sz="4" w:space="0"/>
            </w:tcBorders>
            <w:shd w:val="clear" w:color="auto" w:fill="auto"/>
            <w:vAlign w:val="center"/>
          </w:tcPr>
          <w:p>
            <w:pPr>
              <w:widowControl/>
              <w:spacing w:line="240" w:lineRule="auto"/>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合计</w:t>
            </w:r>
          </w:p>
        </w:tc>
        <w:tc>
          <w:tcPr>
            <w:tcW w:w="1000"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20"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020"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160"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150"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c>
          <w:tcPr>
            <w:tcW w:w="1230" w:type="dxa"/>
            <w:tcBorders>
              <w:top w:val="nil"/>
              <w:left w:val="nil"/>
              <w:bottom w:val="single" w:color="000000" w:sz="4" w:space="0"/>
              <w:right w:val="single" w:color="000000" w:sz="4" w:space="0"/>
            </w:tcBorders>
            <w:shd w:val="clear" w:color="auto" w:fill="auto"/>
            <w:vAlign w:val="center"/>
          </w:tcPr>
          <w:p>
            <w:pPr>
              <w:widowControl/>
              <w:spacing w:line="240" w:lineRule="auto"/>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　</w:t>
            </w:r>
          </w:p>
        </w:tc>
      </w:tr>
    </w:tbl>
    <w:p>
      <w:pPr>
        <w:pStyle w:val="7"/>
        <w:rPr>
          <w:rFonts w:ascii="Times New Roman" w:hAnsi="Times New Roman" w:cs="Times New Roman" w:eastAsiaTheme="minorEastAsia"/>
          <w:highlight w:val="none"/>
        </w:rPr>
      </w:pPr>
      <w:r>
        <w:rPr>
          <w:rFonts w:hint="eastAsia" w:ascii="Times New Roman" w:hAnsi="Times New Roman" w:cs="Times New Roman" w:eastAsiaTheme="minorEastAsia"/>
          <w:highlight w:val="none"/>
        </w:rPr>
        <w:t>注：1.本表反映单位本年度政府性基金预算财政拨款收入、支出及结转和结余情况。</w:t>
      </w:r>
    </w:p>
    <w:p>
      <w:pPr>
        <w:ind w:firstLine="480" w:firstLineChars="200"/>
        <w:jc w:val="left"/>
        <w:rPr>
          <w:rFonts w:ascii="Times New Roman" w:hAnsi="Times New Roman" w:cs="Times New Roman"/>
          <w:color w:val="000000"/>
          <w:kern w:val="0"/>
          <w:sz w:val="24"/>
          <w:szCs w:val="24"/>
          <w:highlight w:val="none"/>
        </w:rPr>
      </w:pPr>
      <w:r>
        <w:rPr>
          <w:rFonts w:hint="eastAsia" w:ascii="Times New Roman" w:hAnsi="Times New Roman" w:cs="Times New Roman"/>
          <w:color w:val="000000"/>
          <w:kern w:val="0"/>
          <w:sz w:val="24"/>
          <w:szCs w:val="24"/>
          <w:highlight w:val="none"/>
        </w:rPr>
        <w:t>2. 没有政府性基金拨款支出的单位请公开空表，并说明“本单位</w:t>
      </w:r>
      <w:r>
        <w:rPr>
          <w:rFonts w:ascii="Times New Roman" w:hAnsi="Times New Roman" w:cs="Times New Roman"/>
          <w:color w:val="000000"/>
          <w:kern w:val="0"/>
          <w:sz w:val="24"/>
          <w:szCs w:val="24"/>
          <w:highlight w:val="none"/>
        </w:rPr>
        <w:t>2021</w:t>
      </w:r>
      <w:r>
        <w:rPr>
          <w:rFonts w:hint="eastAsia" w:ascii="Times New Roman" w:hAnsi="Times New Roman" w:cs="Times New Roman"/>
          <w:color w:val="000000"/>
          <w:kern w:val="0"/>
          <w:sz w:val="24"/>
          <w:szCs w:val="24"/>
          <w:highlight w:val="none"/>
        </w:rPr>
        <w:t>年度没有使用政府性基金预算拨款安排的收支”。</w:t>
      </w:r>
    </w:p>
    <w:p>
      <w:pPr>
        <w:pStyle w:val="7"/>
        <w:rPr>
          <w:rFonts w:ascii="Times New Roman" w:hAnsi="Times New Roman" w:cs="Times New Roman" w:eastAsiaTheme="minorEastAsia"/>
          <w:highlight w:val="none"/>
        </w:rPr>
      </w:pPr>
      <w:r>
        <w:rPr>
          <w:rFonts w:hint="eastAsia" w:ascii="黑体" w:hAnsi="仿宋" w:eastAsia="黑体"/>
          <w:sz w:val="32"/>
          <w:szCs w:val="32"/>
          <w:highlight w:val="none"/>
        </w:rPr>
        <w:t>九、国有资本经营预算财政拨款支出决算表</w:t>
      </w:r>
    </w:p>
    <w:tbl>
      <w:tblPr>
        <w:tblStyle w:val="5"/>
        <w:tblW w:w="7940" w:type="dxa"/>
        <w:jc w:val="center"/>
        <w:tblLayout w:type="fixed"/>
        <w:tblCellMar>
          <w:top w:w="0" w:type="dxa"/>
          <w:left w:w="108" w:type="dxa"/>
          <w:bottom w:w="0" w:type="dxa"/>
          <w:right w:w="108" w:type="dxa"/>
        </w:tblCellMar>
      </w:tblPr>
      <w:tblGrid>
        <w:gridCol w:w="600"/>
        <w:gridCol w:w="1060"/>
        <w:gridCol w:w="1480"/>
        <w:gridCol w:w="1540"/>
        <w:gridCol w:w="1600"/>
        <w:gridCol w:w="1660"/>
      </w:tblGrid>
      <w:tr>
        <w:tblPrEx>
          <w:tblCellMar>
            <w:top w:w="0" w:type="dxa"/>
            <w:left w:w="108" w:type="dxa"/>
            <w:bottom w:w="0" w:type="dxa"/>
            <w:right w:w="108" w:type="dxa"/>
          </w:tblCellMar>
        </w:tblPrEx>
        <w:trPr>
          <w:trHeight w:val="720" w:hRule="atLeast"/>
          <w:jc w:val="center"/>
        </w:trPr>
        <w:tc>
          <w:tcPr>
            <w:tcW w:w="7940" w:type="dxa"/>
            <w:gridSpan w:val="6"/>
            <w:tcBorders>
              <w:top w:val="nil"/>
              <w:left w:val="nil"/>
              <w:bottom w:val="nil"/>
              <w:right w:val="nil"/>
            </w:tcBorders>
            <w:shd w:val="clear" w:color="000000" w:fill="FFFFFF"/>
            <w:vAlign w:val="center"/>
          </w:tcPr>
          <w:p>
            <w:pPr>
              <w:widowControl/>
              <w:spacing w:line="240" w:lineRule="auto"/>
              <w:jc w:val="center"/>
              <w:rPr>
                <w:rFonts w:ascii="华文中宋" w:hAnsi="华文中宋" w:eastAsia="华文中宋" w:cs="宋体"/>
                <w:kern w:val="0"/>
                <w:sz w:val="32"/>
                <w:szCs w:val="32"/>
                <w:highlight w:val="none"/>
              </w:rPr>
            </w:pPr>
            <w:r>
              <w:rPr>
                <w:rFonts w:hint="eastAsia" w:ascii="华文中宋" w:hAnsi="华文中宋" w:eastAsia="华文中宋" w:cs="宋体"/>
                <w:kern w:val="0"/>
                <w:sz w:val="32"/>
                <w:szCs w:val="32"/>
                <w:highlight w:val="none"/>
              </w:rPr>
              <w:t>国有资本经营预算财政拨款支出决算表</w:t>
            </w:r>
          </w:p>
        </w:tc>
      </w:tr>
      <w:tr>
        <w:tblPrEx>
          <w:tblCellMar>
            <w:top w:w="0" w:type="dxa"/>
            <w:left w:w="108" w:type="dxa"/>
            <w:bottom w:w="0" w:type="dxa"/>
            <w:right w:w="108" w:type="dxa"/>
          </w:tblCellMar>
        </w:tblPrEx>
        <w:trPr>
          <w:trHeight w:val="285" w:hRule="atLeast"/>
          <w:jc w:val="center"/>
        </w:trPr>
        <w:tc>
          <w:tcPr>
            <w:tcW w:w="600" w:type="dxa"/>
            <w:tcBorders>
              <w:top w:val="nil"/>
              <w:left w:val="nil"/>
              <w:bottom w:val="nil"/>
              <w:right w:val="nil"/>
            </w:tcBorders>
            <w:shd w:val="clear" w:color="000000" w:fill="FFFFFF"/>
            <w:vAlign w:val="center"/>
          </w:tcPr>
          <w:p>
            <w:pPr>
              <w:widowControl/>
              <w:spacing w:line="240" w:lineRule="auto"/>
              <w:jc w:val="center"/>
              <w:rPr>
                <w:rFonts w:ascii="宋体" w:hAnsi="宋体" w:eastAsia="宋体" w:cs="宋体"/>
                <w:kern w:val="0"/>
                <w:sz w:val="20"/>
                <w:szCs w:val="20"/>
                <w:highlight w:val="none"/>
              </w:rPr>
            </w:pPr>
            <w:r>
              <w:rPr>
                <w:rFonts w:hint="eastAsia" w:ascii="宋体" w:hAnsi="宋体" w:eastAsia="宋体" w:cs="宋体"/>
                <w:kern w:val="0"/>
                <w:sz w:val="20"/>
                <w:szCs w:val="20"/>
                <w:highlight w:val="none"/>
              </w:rPr>
              <w:t>　</w:t>
            </w:r>
          </w:p>
        </w:tc>
        <w:tc>
          <w:tcPr>
            <w:tcW w:w="1060" w:type="dxa"/>
            <w:tcBorders>
              <w:top w:val="nil"/>
              <w:left w:val="nil"/>
              <w:bottom w:val="nil"/>
              <w:right w:val="nil"/>
            </w:tcBorders>
            <w:shd w:val="clear" w:color="000000" w:fill="FFFFFF"/>
            <w:vAlign w:val="center"/>
          </w:tcPr>
          <w:p>
            <w:pPr>
              <w:widowControl/>
              <w:spacing w:line="240" w:lineRule="auto"/>
              <w:jc w:val="center"/>
              <w:rPr>
                <w:rFonts w:ascii="宋体" w:hAnsi="宋体" w:eastAsia="宋体" w:cs="宋体"/>
                <w:kern w:val="0"/>
                <w:sz w:val="20"/>
                <w:szCs w:val="20"/>
                <w:highlight w:val="none"/>
              </w:rPr>
            </w:pPr>
            <w:r>
              <w:rPr>
                <w:rFonts w:hint="eastAsia" w:ascii="宋体" w:hAnsi="宋体" w:eastAsia="宋体" w:cs="宋体"/>
                <w:kern w:val="0"/>
                <w:sz w:val="20"/>
                <w:szCs w:val="20"/>
                <w:highlight w:val="none"/>
              </w:rPr>
              <w:t>　</w:t>
            </w:r>
          </w:p>
        </w:tc>
        <w:tc>
          <w:tcPr>
            <w:tcW w:w="1480" w:type="dxa"/>
            <w:tcBorders>
              <w:top w:val="nil"/>
              <w:left w:val="nil"/>
              <w:bottom w:val="nil"/>
              <w:right w:val="nil"/>
            </w:tcBorders>
            <w:shd w:val="clear" w:color="000000" w:fill="FFFFFF"/>
            <w:vAlign w:val="center"/>
          </w:tcPr>
          <w:p>
            <w:pPr>
              <w:widowControl/>
              <w:spacing w:line="240" w:lineRule="auto"/>
              <w:jc w:val="center"/>
              <w:rPr>
                <w:rFonts w:ascii="宋体" w:hAnsi="宋体" w:eastAsia="宋体" w:cs="宋体"/>
                <w:kern w:val="0"/>
                <w:sz w:val="20"/>
                <w:szCs w:val="20"/>
                <w:highlight w:val="none"/>
              </w:rPr>
            </w:pPr>
            <w:r>
              <w:rPr>
                <w:rFonts w:hint="eastAsia" w:ascii="宋体" w:hAnsi="宋体" w:eastAsia="宋体" w:cs="宋体"/>
                <w:kern w:val="0"/>
                <w:sz w:val="20"/>
                <w:szCs w:val="20"/>
                <w:highlight w:val="none"/>
              </w:rPr>
              <w:t>　</w:t>
            </w:r>
          </w:p>
        </w:tc>
        <w:tc>
          <w:tcPr>
            <w:tcW w:w="1540" w:type="dxa"/>
            <w:tcBorders>
              <w:top w:val="nil"/>
              <w:left w:val="nil"/>
              <w:bottom w:val="nil"/>
              <w:right w:val="nil"/>
            </w:tcBorders>
            <w:shd w:val="clear" w:color="000000" w:fill="FFFFFF"/>
            <w:vAlign w:val="center"/>
          </w:tcPr>
          <w:p>
            <w:pPr>
              <w:widowControl/>
              <w:spacing w:line="240" w:lineRule="auto"/>
              <w:jc w:val="left"/>
              <w:rPr>
                <w:rFonts w:ascii="宋体" w:hAnsi="宋体" w:eastAsia="宋体" w:cs="宋体"/>
                <w:kern w:val="0"/>
                <w:sz w:val="20"/>
                <w:szCs w:val="20"/>
                <w:highlight w:val="none"/>
              </w:rPr>
            </w:pPr>
            <w:r>
              <w:rPr>
                <w:rFonts w:hint="eastAsia" w:ascii="宋体" w:hAnsi="宋体" w:eastAsia="宋体" w:cs="宋体"/>
                <w:kern w:val="0"/>
                <w:sz w:val="20"/>
                <w:szCs w:val="20"/>
                <w:highlight w:val="none"/>
              </w:rPr>
              <w:t>　</w:t>
            </w:r>
          </w:p>
        </w:tc>
        <w:tc>
          <w:tcPr>
            <w:tcW w:w="1600" w:type="dxa"/>
            <w:tcBorders>
              <w:top w:val="nil"/>
              <w:left w:val="nil"/>
              <w:bottom w:val="nil"/>
              <w:right w:val="nil"/>
            </w:tcBorders>
            <w:shd w:val="clear" w:color="000000" w:fill="FFFFFF"/>
            <w:vAlign w:val="center"/>
          </w:tcPr>
          <w:p>
            <w:pPr>
              <w:widowControl/>
              <w:spacing w:line="240" w:lineRule="auto"/>
              <w:jc w:val="left"/>
              <w:rPr>
                <w:rFonts w:ascii="宋体" w:hAnsi="宋体" w:eastAsia="宋体" w:cs="宋体"/>
                <w:kern w:val="0"/>
                <w:sz w:val="20"/>
                <w:szCs w:val="20"/>
                <w:highlight w:val="none"/>
              </w:rPr>
            </w:pPr>
            <w:r>
              <w:rPr>
                <w:rFonts w:hint="eastAsia" w:ascii="宋体" w:hAnsi="宋体" w:eastAsia="宋体" w:cs="宋体"/>
                <w:kern w:val="0"/>
                <w:sz w:val="20"/>
                <w:szCs w:val="20"/>
                <w:highlight w:val="none"/>
              </w:rPr>
              <w:t>　</w:t>
            </w:r>
          </w:p>
        </w:tc>
        <w:tc>
          <w:tcPr>
            <w:tcW w:w="1660" w:type="dxa"/>
            <w:tcBorders>
              <w:top w:val="nil"/>
              <w:left w:val="nil"/>
              <w:bottom w:val="nil"/>
              <w:right w:val="nil"/>
            </w:tcBorders>
            <w:shd w:val="clear" w:color="000000" w:fill="FFFFFF"/>
            <w:vAlign w:val="center"/>
          </w:tcPr>
          <w:p>
            <w:pPr>
              <w:widowControl/>
              <w:spacing w:line="240" w:lineRule="auto"/>
              <w:jc w:val="righ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公开09表</w:t>
            </w:r>
          </w:p>
        </w:tc>
      </w:tr>
      <w:tr>
        <w:tblPrEx>
          <w:tblCellMar>
            <w:top w:w="0" w:type="dxa"/>
            <w:left w:w="108" w:type="dxa"/>
            <w:bottom w:w="0" w:type="dxa"/>
            <w:right w:w="108" w:type="dxa"/>
          </w:tblCellMar>
        </w:tblPrEx>
        <w:trPr>
          <w:trHeight w:val="285" w:hRule="atLeast"/>
          <w:jc w:val="center"/>
        </w:trPr>
        <w:tc>
          <w:tcPr>
            <w:tcW w:w="1660" w:type="dxa"/>
            <w:gridSpan w:val="2"/>
            <w:tcBorders>
              <w:top w:val="nil"/>
              <w:left w:val="nil"/>
              <w:bottom w:val="nil"/>
              <w:right w:val="nil"/>
            </w:tcBorders>
            <w:shd w:val="clear" w:color="000000" w:fill="FFFFFF"/>
            <w:vAlign w:val="center"/>
          </w:tcPr>
          <w:p>
            <w:pPr>
              <w:widowControl/>
              <w:spacing w:line="240" w:lineRule="auto"/>
              <w:jc w:val="lef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单位：</w:t>
            </w:r>
          </w:p>
        </w:tc>
        <w:tc>
          <w:tcPr>
            <w:tcW w:w="1480" w:type="dxa"/>
            <w:tcBorders>
              <w:top w:val="nil"/>
              <w:left w:val="nil"/>
              <w:bottom w:val="nil"/>
              <w:right w:val="nil"/>
            </w:tcBorders>
            <w:shd w:val="clear" w:color="000000" w:fill="FFFFFF"/>
            <w:vAlign w:val="center"/>
          </w:tcPr>
          <w:p>
            <w:pPr>
              <w:widowControl/>
              <w:spacing w:line="240" w:lineRule="auto"/>
              <w:jc w:val="center"/>
              <w:rPr>
                <w:rFonts w:ascii="宋体" w:hAnsi="宋体" w:eastAsia="宋体" w:cs="宋体"/>
                <w:kern w:val="0"/>
                <w:sz w:val="20"/>
                <w:szCs w:val="20"/>
                <w:highlight w:val="none"/>
              </w:rPr>
            </w:pPr>
            <w:r>
              <w:rPr>
                <w:rFonts w:hint="eastAsia" w:ascii="宋体" w:hAnsi="宋体" w:eastAsia="宋体" w:cs="宋体"/>
                <w:kern w:val="0"/>
                <w:sz w:val="20"/>
                <w:szCs w:val="20"/>
                <w:highlight w:val="none"/>
              </w:rPr>
              <w:t>　</w:t>
            </w:r>
          </w:p>
        </w:tc>
        <w:tc>
          <w:tcPr>
            <w:tcW w:w="1540" w:type="dxa"/>
            <w:tcBorders>
              <w:top w:val="nil"/>
              <w:left w:val="nil"/>
              <w:bottom w:val="single" w:color="auto" w:sz="8" w:space="0"/>
              <w:right w:val="nil"/>
            </w:tcBorders>
            <w:shd w:val="clear" w:color="000000" w:fill="FFFFFF"/>
            <w:vAlign w:val="center"/>
          </w:tcPr>
          <w:p>
            <w:pPr>
              <w:widowControl/>
              <w:spacing w:line="240" w:lineRule="auto"/>
              <w:jc w:val="left"/>
              <w:rPr>
                <w:rFonts w:ascii="宋体" w:hAnsi="宋体" w:eastAsia="宋体" w:cs="宋体"/>
                <w:kern w:val="0"/>
                <w:sz w:val="20"/>
                <w:szCs w:val="20"/>
                <w:highlight w:val="none"/>
              </w:rPr>
            </w:pPr>
            <w:r>
              <w:rPr>
                <w:rFonts w:hint="eastAsia" w:ascii="宋体" w:hAnsi="宋体" w:eastAsia="宋体" w:cs="宋体"/>
                <w:kern w:val="0"/>
                <w:sz w:val="20"/>
                <w:szCs w:val="20"/>
                <w:highlight w:val="none"/>
              </w:rPr>
              <w:t>　</w:t>
            </w:r>
          </w:p>
        </w:tc>
        <w:tc>
          <w:tcPr>
            <w:tcW w:w="1600" w:type="dxa"/>
            <w:tcBorders>
              <w:top w:val="nil"/>
              <w:left w:val="nil"/>
              <w:bottom w:val="single" w:color="auto" w:sz="8" w:space="0"/>
              <w:right w:val="nil"/>
            </w:tcBorders>
            <w:shd w:val="clear" w:color="000000" w:fill="FFFFFF"/>
            <w:vAlign w:val="center"/>
          </w:tcPr>
          <w:p>
            <w:pPr>
              <w:widowControl/>
              <w:spacing w:line="240" w:lineRule="auto"/>
              <w:jc w:val="left"/>
              <w:rPr>
                <w:rFonts w:ascii="宋体" w:hAnsi="宋体" w:eastAsia="宋体" w:cs="宋体"/>
                <w:kern w:val="0"/>
                <w:sz w:val="20"/>
                <w:szCs w:val="20"/>
                <w:highlight w:val="none"/>
              </w:rPr>
            </w:pPr>
            <w:r>
              <w:rPr>
                <w:rFonts w:hint="eastAsia" w:ascii="宋体" w:hAnsi="宋体" w:eastAsia="宋体" w:cs="宋体"/>
                <w:kern w:val="0"/>
                <w:sz w:val="20"/>
                <w:szCs w:val="20"/>
                <w:highlight w:val="none"/>
              </w:rPr>
              <w:t>　</w:t>
            </w:r>
          </w:p>
        </w:tc>
        <w:tc>
          <w:tcPr>
            <w:tcW w:w="1660" w:type="dxa"/>
            <w:tcBorders>
              <w:top w:val="nil"/>
              <w:left w:val="nil"/>
              <w:bottom w:val="nil"/>
              <w:right w:val="nil"/>
            </w:tcBorders>
            <w:shd w:val="clear" w:color="000000" w:fill="FFFFFF"/>
            <w:vAlign w:val="center"/>
          </w:tcPr>
          <w:p>
            <w:pPr>
              <w:widowControl/>
              <w:spacing w:line="240" w:lineRule="auto"/>
              <w:jc w:val="right"/>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单位：万元</w:t>
            </w:r>
          </w:p>
        </w:tc>
      </w:tr>
      <w:tr>
        <w:tblPrEx>
          <w:tblCellMar>
            <w:top w:w="0" w:type="dxa"/>
            <w:left w:w="108" w:type="dxa"/>
            <w:bottom w:w="0" w:type="dxa"/>
            <w:right w:w="108" w:type="dxa"/>
          </w:tblCellMar>
        </w:tblPrEx>
        <w:trPr>
          <w:trHeight w:val="402" w:hRule="atLeast"/>
          <w:jc w:val="center"/>
        </w:trPr>
        <w:tc>
          <w:tcPr>
            <w:tcW w:w="314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项 目</w:t>
            </w:r>
          </w:p>
        </w:tc>
        <w:tc>
          <w:tcPr>
            <w:tcW w:w="4800" w:type="dxa"/>
            <w:gridSpan w:val="3"/>
            <w:tcBorders>
              <w:top w:val="single" w:color="auto" w:sz="8" w:space="0"/>
              <w:left w:val="nil"/>
              <w:bottom w:val="single" w:color="auto" w:sz="4" w:space="0"/>
              <w:right w:val="single" w:color="000000" w:sz="4" w:space="0"/>
            </w:tcBorders>
            <w:shd w:val="clear" w:color="auto" w:fill="auto"/>
            <w:vAlign w:val="center"/>
          </w:tcPr>
          <w:p>
            <w:pPr>
              <w:widowControl/>
              <w:spacing w:line="240" w:lineRule="auto"/>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本年支出</w:t>
            </w:r>
          </w:p>
        </w:tc>
      </w:tr>
      <w:tr>
        <w:tblPrEx>
          <w:tblCellMar>
            <w:top w:w="0" w:type="dxa"/>
            <w:left w:w="108" w:type="dxa"/>
            <w:bottom w:w="0" w:type="dxa"/>
            <w:right w:w="108" w:type="dxa"/>
          </w:tblCellMar>
        </w:tblPrEx>
        <w:trPr>
          <w:trHeight w:val="402" w:hRule="atLeast"/>
          <w:jc w:val="center"/>
        </w:trPr>
        <w:tc>
          <w:tcPr>
            <w:tcW w:w="166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功能分类科目编码</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科目名称</w:t>
            </w:r>
          </w:p>
        </w:tc>
        <w:tc>
          <w:tcPr>
            <w:tcW w:w="15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合计</w:t>
            </w:r>
          </w:p>
        </w:tc>
        <w:tc>
          <w:tcPr>
            <w:tcW w:w="160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基本支出  </w:t>
            </w:r>
          </w:p>
        </w:tc>
        <w:tc>
          <w:tcPr>
            <w:tcW w:w="16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项目支出</w:t>
            </w:r>
          </w:p>
        </w:tc>
      </w:tr>
      <w:tr>
        <w:tblPrEx>
          <w:tblCellMar>
            <w:top w:w="0" w:type="dxa"/>
            <w:left w:w="108" w:type="dxa"/>
            <w:bottom w:w="0" w:type="dxa"/>
            <w:right w:w="108" w:type="dxa"/>
          </w:tblCellMar>
        </w:tblPrEx>
        <w:trPr>
          <w:trHeight w:val="402" w:hRule="atLeast"/>
          <w:jc w:val="center"/>
        </w:trPr>
        <w:tc>
          <w:tcPr>
            <w:tcW w:w="166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highlight w:val="none"/>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highlight w:val="none"/>
              </w:rPr>
            </w:pPr>
          </w:p>
        </w:tc>
        <w:tc>
          <w:tcPr>
            <w:tcW w:w="154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kern w:val="0"/>
                <w:sz w:val="24"/>
                <w:szCs w:val="24"/>
                <w:highlight w:val="none"/>
              </w:rPr>
            </w:pPr>
          </w:p>
        </w:tc>
        <w:tc>
          <w:tcPr>
            <w:tcW w:w="160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kern w:val="0"/>
                <w:sz w:val="24"/>
                <w:szCs w:val="24"/>
                <w:highlight w:val="none"/>
              </w:rPr>
            </w:pPr>
          </w:p>
        </w:tc>
        <w:tc>
          <w:tcPr>
            <w:tcW w:w="166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eastAsia="宋体" w:cs="宋体"/>
                <w:kern w:val="0"/>
                <w:sz w:val="24"/>
                <w:szCs w:val="24"/>
                <w:highlight w:val="none"/>
              </w:rPr>
            </w:pPr>
          </w:p>
        </w:tc>
      </w:tr>
      <w:tr>
        <w:tblPrEx>
          <w:tblCellMar>
            <w:top w:w="0" w:type="dxa"/>
            <w:left w:w="108" w:type="dxa"/>
            <w:bottom w:w="0" w:type="dxa"/>
            <w:right w:w="108" w:type="dxa"/>
          </w:tblCellMar>
        </w:tblPrEx>
        <w:trPr>
          <w:trHeight w:val="402" w:hRule="atLeast"/>
          <w:jc w:val="center"/>
        </w:trPr>
        <w:tc>
          <w:tcPr>
            <w:tcW w:w="166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highlight w:val="none"/>
              </w:rPr>
            </w:pPr>
          </w:p>
        </w:tc>
        <w:tc>
          <w:tcPr>
            <w:tcW w:w="148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highlight w:val="none"/>
              </w:rPr>
            </w:pPr>
          </w:p>
        </w:tc>
        <w:tc>
          <w:tcPr>
            <w:tcW w:w="154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highlight w:val="none"/>
              </w:rPr>
            </w:pPr>
          </w:p>
        </w:tc>
        <w:tc>
          <w:tcPr>
            <w:tcW w:w="160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highlight w:val="none"/>
              </w:rPr>
            </w:pPr>
          </w:p>
        </w:tc>
        <w:tc>
          <w:tcPr>
            <w:tcW w:w="166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eastAsia="宋体" w:cs="宋体"/>
                <w:kern w:val="0"/>
                <w:sz w:val="24"/>
                <w:szCs w:val="24"/>
                <w:highlight w:val="none"/>
              </w:rPr>
            </w:pPr>
          </w:p>
        </w:tc>
      </w:tr>
      <w:tr>
        <w:tblPrEx>
          <w:tblCellMar>
            <w:top w:w="0" w:type="dxa"/>
            <w:left w:w="108" w:type="dxa"/>
            <w:bottom w:w="0" w:type="dxa"/>
            <w:right w:w="108" w:type="dxa"/>
          </w:tblCellMar>
        </w:tblPrEx>
        <w:trPr>
          <w:trHeight w:val="402" w:hRule="atLeast"/>
          <w:jc w:val="center"/>
        </w:trPr>
        <w:tc>
          <w:tcPr>
            <w:tcW w:w="3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栏次</w:t>
            </w:r>
          </w:p>
        </w:tc>
        <w:tc>
          <w:tcPr>
            <w:tcW w:w="1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r>
      <w:tr>
        <w:tblPrEx>
          <w:tblCellMar>
            <w:top w:w="0" w:type="dxa"/>
            <w:left w:w="108" w:type="dxa"/>
            <w:bottom w:w="0" w:type="dxa"/>
            <w:right w:w="108" w:type="dxa"/>
          </w:tblCellMar>
        </w:tblPrEx>
        <w:trPr>
          <w:trHeight w:val="402" w:hRule="atLeast"/>
          <w:jc w:val="center"/>
        </w:trPr>
        <w:tc>
          <w:tcPr>
            <w:tcW w:w="31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合计</w:t>
            </w:r>
          </w:p>
        </w:tc>
        <w:tc>
          <w:tcPr>
            <w:tcW w:w="1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highlight w:val="none"/>
              </w:rPr>
            </w:pPr>
            <w:r>
              <w:rPr>
                <w:rFonts w:hint="eastAsia" w:ascii="宋体" w:hAnsi="宋体" w:eastAsia="宋体" w:cs="宋体"/>
                <w:kern w:val="0"/>
                <w:sz w:val="20"/>
                <w:szCs w:val="20"/>
                <w:highlight w:val="none"/>
              </w:rPr>
              <w:t>　</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5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6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0"/>
                <w:szCs w:val="20"/>
                <w:highlight w:val="none"/>
              </w:rPr>
            </w:pPr>
            <w:r>
              <w:rPr>
                <w:rFonts w:hint="eastAsia" w:ascii="宋体" w:hAnsi="宋体" w:eastAsia="宋体" w:cs="宋体"/>
                <w:kern w:val="0"/>
                <w:sz w:val="20"/>
                <w:szCs w:val="20"/>
                <w:highlight w:val="none"/>
              </w:rPr>
              <w:t>　</w:t>
            </w:r>
          </w:p>
        </w:tc>
        <w:tc>
          <w:tcPr>
            <w:tcW w:w="15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6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5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6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48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54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60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660" w:type="dxa"/>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r>
      <w:tr>
        <w:tblPrEx>
          <w:tblCellMar>
            <w:top w:w="0" w:type="dxa"/>
            <w:left w:w="108" w:type="dxa"/>
            <w:bottom w:w="0" w:type="dxa"/>
            <w:right w:w="108" w:type="dxa"/>
          </w:tblCellMar>
        </w:tblPrEx>
        <w:trPr>
          <w:trHeight w:val="402" w:hRule="atLeast"/>
          <w:jc w:val="center"/>
        </w:trPr>
        <w:tc>
          <w:tcPr>
            <w:tcW w:w="166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spacing w:line="240" w:lineRule="auto"/>
              <w:jc w:val="center"/>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480" w:type="dxa"/>
            <w:tcBorders>
              <w:top w:val="nil"/>
              <w:left w:val="nil"/>
              <w:bottom w:val="single" w:color="auto" w:sz="8"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540" w:type="dxa"/>
            <w:tcBorders>
              <w:top w:val="nil"/>
              <w:left w:val="nil"/>
              <w:bottom w:val="single" w:color="auto" w:sz="8"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600" w:type="dxa"/>
            <w:tcBorders>
              <w:top w:val="nil"/>
              <w:left w:val="nil"/>
              <w:bottom w:val="single" w:color="auto" w:sz="8"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c>
          <w:tcPr>
            <w:tcW w:w="1660" w:type="dxa"/>
            <w:tcBorders>
              <w:top w:val="nil"/>
              <w:left w:val="nil"/>
              <w:bottom w:val="single" w:color="auto" w:sz="8" w:space="0"/>
              <w:right w:val="single" w:color="auto" w:sz="4" w:space="0"/>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w:t>
            </w:r>
          </w:p>
        </w:tc>
      </w:tr>
      <w:tr>
        <w:tblPrEx>
          <w:tblCellMar>
            <w:top w:w="0" w:type="dxa"/>
            <w:left w:w="108" w:type="dxa"/>
            <w:bottom w:w="0" w:type="dxa"/>
            <w:right w:w="108" w:type="dxa"/>
          </w:tblCellMar>
        </w:tblPrEx>
        <w:trPr>
          <w:trHeight w:val="720" w:hRule="atLeast"/>
          <w:jc w:val="center"/>
        </w:trPr>
        <w:tc>
          <w:tcPr>
            <w:tcW w:w="7940" w:type="dxa"/>
            <w:gridSpan w:val="6"/>
            <w:tcBorders>
              <w:top w:val="single" w:color="auto" w:sz="8" w:space="0"/>
              <w:left w:val="nil"/>
              <w:bottom w:val="nil"/>
              <w:right w:val="nil"/>
            </w:tcBorders>
            <w:shd w:val="clear" w:color="auto" w:fill="auto"/>
            <w:vAlign w:val="center"/>
          </w:tcPr>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注：1.本表反映单位本年度国有资本经营预算财政拨款支出情况。</w:t>
            </w:r>
          </w:p>
          <w:p>
            <w:pPr>
              <w:widowControl/>
              <w:spacing w:line="240" w:lineRule="auto"/>
              <w:jc w:val="left"/>
              <w:rPr>
                <w:rFonts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2.</w:t>
            </w:r>
            <w:r>
              <w:rPr>
                <w:rFonts w:hint="eastAsia" w:ascii="Times New Roman" w:hAnsi="Times New Roman" w:cs="Times New Roman"/>
                <w:color w:val="000000"/>
                <w:kern w:val="0"/>
                <w:sz w:val="24"/>
                <w:szCs w:val="24"/>
                <w:highlight w:val="none"/>
              </w:rPr>
              <w:t>没有国有资本经营预算财政拨款支出的单位请公开空表，并说明“本单位</w:t>
            </w:r>
            <w:r>
              <w:rPr>
                <w:rFonts w:ascii="Times New Roman" w:hAnsi="Times New Roman" w:cs="Times New Roman"/>
                <w:color w:val="000000"/>
                <w:kern w:val="0"/>
                <w:sz w:val="24"/>
                <w:szCs w:val="24"/>
                <w:highlight w:val="none"/>
              </w:rPr>
              <w:t>2021</w:t>
            </w:r>
            <w:r>
              <w:rPr>
                <w:rFonts w:hint="eastAsia" w:ascii="Times New Roman" w:hAnsi="Times New Roman" w:cs="Times New Roman"/>
                <w:color w:val="000000"/>
                <w:kern w:val="0"/>
                <w:sz w:val="24"/>
                <w:szCs w:val="24"/>
                <w:highlight w:val="none"/>
              </w:rPr>
              <w:t>年度没有使用国有资本经营预算财政拨款安排的支出”。</w:t>
            </w:r>
          </w:p>
        </w:tc>
      </w:tr>
    </w:tbl>
    <w:p>
      <w:pPr>
        <w:spacing w:line="600" w:lineRule="exact"/>
        <w:jc w:val="center"/>
        <w:rPr>
          <w:rFonts w:ascii="黑体" w:hAnsi="黑体" w:eastAsia="黑体"/>
          <w:sz w:val="36"/>
          <w:szCs w:val="36"/>
          <w:highlight w:val="none"/>
        </w:rPr>
      </w:pPr>
    </w:p>
    <w:p>
      <w:pPr>
        <w:spacing w:line="600" w:lineRule="exact"/>
        <w:jc w:val="center"/>
        <w:rPr>
          <w:rFonts w:ascii="黑体" w:hAnsi="黑体" w:eastAsia="黑体"/>
          <w:sz w:val="36"/>
          <w:szCs w:val="36"/>
          <w:highlight w:val="none"/>
        </w:rPr>
      </w:pPr>
    </w:p>
    <w:p>
      <w:pPr>
        <w:spacing w:line="600" w:lineRule="exact"/>
        <w:jc w:val="center"/>
        <w:rPr>
          <w:rFonts w:ascii="黑体" w:hAnsi="黑体" w:eastAsia="黑体"/>
          <w:sz w:val="36"/>
          <w:szCs w:val="36"/>
          <w:highlight w:val="none"/>
        </w:rPr>
      </w:pPr>
    </w:p>
    <w:p>
      <w:pPr>
        <w:spacing w:line="600" w:lineRule="exact"/>
        <w:jc w:val="center"/>
        <w:rPr>
          <w:rFonts w:ascii="黑体" w:hAnsi="黑体" w:eastAsia="黑体"/>
          <w:sz w:val="36"/>
          <w:szCs w:val="36"/>
          <w:highlight w:val="none"/>
        </w:rPr>
      </w:pPr>
      <w:r>
        <w:rPr>
          <w:rFonts w:hint="eastAsia" w:ascii="黑体" w:hAnsi="黑体" w:eastAsia="黑体"/>
          <w:sz w:val="36"/>
          <w:szCs w:val="36"/>
          <w:highlight w:val="none"/>
        </w:rPr>
        <w:t>第三部分 2021年度部门决算情况说明</w:t>
      </w:r>
    </w:p>
    <w:p>
      <w:pPr>
        <w:spacing w:line="600" w:lineRule="exact"/>
        <w:rPr>
          <w:rFonts w:ascii="仿宋" w:hAnsi="仿宋" w:eastAsia="仿宋"/>
          <w:sz w:val="32"/>
          <w:szCs w:val="32"/>
          <w:highlight w:val="none"/>
        </w:rPr>
      </w:pPr>
    </w:p>
    <w:p>
      <w:pPr>
        <w:spacing w:line="60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一、收入支出决算总体情况说明</w:t>
      </w:r>
    </w:p>
    <w:p>
      <w:pPr>
        <w:tabs>
          <w:tab w:val="left" w:pos="7513"/>
        </w:tabs>
        <w:adjustRightInd w:val="0"/>
        <w:snapToGrid w:val="0"/>
        <w:spacing w:line="600" w:lineRule="exact"/>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2021年本单位年初结转和结余</w:t>
      </w:r>
      <w:r>
        <w:rPr>
          <w:rFonts w:hint="eastAsia" w:ascii="仿宋" w:hAnsi="仿宋" w:eastAsia="仿宋" w:cs="仿宋_GB2312"/>
          <w:sz w:val="32"/>
          <w:szCs w:val="32"/>
          <w:highlight w:val="none"/>
          <w:lang w:val="en-US" w:eastAsia="zh-CN"/>
        </w:rPr>
        <w:t>173.89</w:t>
      </w:r>
      <w:r>
        <w:rPr>
          <w:rFonts w:hint="eastAsia" w:ascii="仿宋" w:hAnsi="仿宋" w:eastAsia="仿宋" w:cs="仿宋_GB2312"/>
          <w:sz w:val="32"/>
          <w:szCs w:val="32"/>
          <w:highlight w:val="none"/>
        </w:rPr>
        <w:t>万元，使用非财政拨款结余</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万元，本年收入</w:t>
      </w:r>
      <w:r>
        <w:rPr>
          <w:rFonts w:hint="eastAsia" w:ascii="仿宋" w:hAnsi="仿宋" w:eastAsia="仿宋" w:cs="仿宋_GB2312"/>
          <w:sz w:val="32"/>
          <w:szCs w:val="32"/>
          <w:highlight w:val="none"/>
          <w:lang w:val="en-US" w:eastAsia="zh-CN"/>
        </w:rPr>
        <w:t>993.37</w:t>
      </w:r>
      <w:r>
        <w:rPr>
          <w:rFonts w:hint="eastAsia" w:ascii="仿宋" w:hAnsi="仿宋" w:eastAsia="仿宋" w:cs="仿宋_GB2312"/>
          <w:sz w:val="32"/>
          <w:szCs w:val="32"/>
          <w:highlight w:val="none"/>
        </w:rPr>
        <w:t>万元，本年支出</w:t>
      </w:r>
      <w:r>
        <w:rPr>
          <w:rFonts w:hint="eastAsia" w:ascii="仿宋" w:hAnsi="仿宋" w:eastAsia="仿宋" w:cs="仿宋_GB2312"/>
          <w:sz w:val="32"/>
          <w:szCs w:val="32"/>
          <w:highlight w:val="none"/>
          <w:lang w:val="en-US" w:eastAsia="zh-CN"/>
        </w:rPr>
        <w:t>1155.22</w:t>
      </w:r>
      <w:r>
        <w:rPr>
          <w:rFonts w:hint="eastAsia" w:ascii="仿宋" w:hAnsi="仿宋" w:eastAsia="仿宋" w:cs="仿宋_GB2312"/>
          <w:sz w:val="32"/>
          <w:szCs w:val="32"/>
          <w:highlight w:val="none"/>
        </w:rPr>
        <w:t>万元，结余分配</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万元，年末结转和结余</w:t>
      </w:r>
      <w:r>
        <w:rPr>
          <w:rFonts w:hint="eastAsia" w:ascii="仿宋" w:hAnsi="仿宋" w:eastAsia="仿宋" w:cs="仿宋_GB2312"/>
          <w:sz w:val="32"/>
          <w:szCs w:val="32"/>
          <w:highlight w:val="none"/>
          <w:lang w:val="en-US" w:eastAsia="zh-CN"/>
        </w:rPr>
        <w:t>12.04</w:t>
      </w:r>
      <w:r>
        <w:rPr>
          <w:rFonts w:hint="eastAsia" w:ascii="仿宋" w:hAnsi="仿宋" w:eastAsia="仿宋" w:cs="仿宋_GB2312"/>
          <w:sz w:val="32"/>
          <w:szCs w:val="32"/>
          <w:highlight w:val="none"/>
        </w:rPr>
        <w:t>万元。</w:t>
      </w:r>
    </w:p>
    <w:p>
      <w:pPr>
        <w:autoSpaceDE w:val="0"/>
        <w:autoSpaceDN w:val="0"/>
        <w:adjustRightInd w:val="0"/>
        <w:spacing w:line="600" w:lineRule="exact"/>
        <w:ind w:firstLine="640" w:firstLineChars="200"/>
        <w:rPr>
          <w:rFonts w:ascii="仿宋" w:hAnsi="仿宋" w:eastAsia="仿宋" w:cs="Times New Roman"/>
          <w:sz w:val="32"/>
          <w:szCs w:val="32"/>
          <w:highlight w:val="none"/>
        </w:rPr>
      </w:pPr>
      <w:r>
        <w:rPr>
          <w:rFonts w:hint="eastAsia" w:ascii="仿宋" w:hAnsi="仿宋" w:eastAsia="仿宋" w:cs="仿宋_GB2312"/>
          <w:sz w:val="32"/>
          <w:szCs w:val="32"/>
          <w:highlight w:val="none"/>
        </w:rPr>
        <w:t>（一）2021年收入</w:t>
      </w:r>
      <w:r>
        <w:rPr>
          <w:rFonts w:hint="eastAsia" w:ascii="仿宋" w:hAnsi="仿宋" w:eastAsia="仿宋" w:cs="仿宋_GB2312"/>
          <w:sz w:val="32"/>
          <w:szCs w:val="32"/>
          <w:highlight w:val="none"/>
          <w:lang w:val="en-US" w:eastAsia="zh-CN"/>
        </w:rPr>
        <w:t>993.37</w:t>
      </w:r>
      <w:r>
        <w:rPr>
          <w:rFonts w:hint="eastAsia" w:ascii="仿宋" w:hAnsi="仿宋" w:eastAsia="仿宋" w:cs="仿宋_GB2312"/>
          <w:sz w:val="32"/>
          <w:szCs w:val="32"/>
          <w:highlight w:val="none"/>
        </w:rPr>
        <w:t>万元，比上年决算数</w:t>
      </w:r>
      <w:r>
        <w:rPr>
          <w:rFonts w:hint="eastAsia" w:ascii="仿宋" w:hAnsi="仿宋" w:eastAsia="仿宋" w:cs="仿宋_GB2312"/>
          <w:sz w:val="32"/>
          <w:szCs w:val="32"/>
          <w:highlight w:val="none"/>
          <w:lang w:val="en-US" w:eastAsia="zh-CN"/>
        </w:rPr>
        <w:t>减少330.44</w:t>
      </w:r>
      <w:r>
        <w:rPr>
          <w:rFonts w:hint="eastAsia" w:ascii="仿宋" w:hAnsi="仿宋" w:eastAsia="仿宋" w:cs="仿宋_GB2312"/>
          <w:sz w:val="32"/>
          <w:szCs w:val="32"/>
          <w:highlight w:val="none"/>
        </w:rPr>
        <w:t>万元，</w:t>
      </w:r>
      <w:r>
        <w:rPr>
          <w:rFonts w:hint="eastAsia" w:ascii="仿宋" w:hAnsi="仿宋" w:eastAsia="仿宋" w:cs="仿宋_GB2312"/>
          <w:sz w:val="32"/>
          <w:szCs w:val="32"/>
          <w:highlight w:val="none"/>
          <w:lang w:val="en-US" w:eastAsia="zh-CN"/>
        </w:rPr>
        <w:t>下降24.96</w:t>
      </w:r>
      <w:r>
        <w:rPr>
          <w:rFonts w:hint="eastAsia" w:ascii="仿宋" w:hAnsi="仿宋" w:eastAsia="仿宋" w:cs="仿宋_GB2312"/>
          <w:sz w:val="32"/>
          <w:szCs w:val="32"/>
          <w:highlight w:val="none"/>
        </w:rPr>
        <w:t>％</w:t>
      </w:r>
      <w:r>
        <w:rPr>
          <w:rFonts w:hint="eastAsia" w:ascii="仿宋" w:hAnsi="仿宋" w:eastAsia="仿宋"/>
          <w:sz w:val="32"/>
          <w:szCs w:val="32"/>
          <w:highlight w:val="none"/>
        </w:rPr>
        <w:t>，</w:t>
      </w:r>
      <w:r>
        <w:rPr>
          <w:rFonts w:hint="eastAsia" w:ascii="仿宋" w:hAnsi="仿宋" w:eastAsia="仿宋" w:cs="仿宋_GB2312"/>
          <w:sz w:val="32"/>
          <w:szCs w:val="32"/>
          <w:highlight w:val="none"/>
        </w:rPr>
        <w:t>具体情况如下：</w:t>
      </w:r>
    </w:p>
    <w:p>
      <w:pPr>
        <w:autoSpaceDE w:val="0"/>
        <w:autoSpaceDN w:val="0"/>
        <w:adjustRightInd w:val="0"/>
        <w:spacing w:line="600" w:lineRule="exact"/>
        <w:ind w:left="160" w:leftChars="76" w:firstLine="480" w:firstLineChars="150"/>
        <w:rPr>
          <w:rFonts w:ascii="仿宋" w:hAnsi="仿宋" w:eastAsia="仿宋" w:cs="仿宋_GB2312"/>
          <w:sz w:val="32"/>
          <w:szCs w:val="32"/>
          <w:highlight w:val="none"/>
        </w:rPr>
      </w:pPr>
      <w:r>
        <w:rPr>
          <w:rFonts w:ascii="仿宋" w:hAnsi="仿宋" w:eastAsia="仿宋" w:cs="仿宋_GB2312"/>
          <w:sz w:val="32"/>
          <w:szCs w:val="32"/>
          <w:highlight w:val="none"/>
        </w:rPr>
        <w:t>1.</w:t>
      </w:r>
      <w:r>
        <w:rPr>
          <w:rFonts w:hint="eastAsia" w:ascii="仿宋" w:hAnsi="仿宋" w:eastAsia="仿宋" w:cs="仿宋_GB2312"/>
          <w:sz w:val="32"/>
          <w:szCs w:val="32"/>
          <w:highlight w:val="none"/>
        </w:rPr>
        <w:t>一般公共预算财政拨款收入</w:t>
      </w:r>
      <w:r>
        <w:rPr>
          <w:rFonts w:hint="eastAsia" w:ascii="仿宋" w:hAnsi="仿宋" w:eastAsia="仿宋" w:cs="仿宋_GB2312"/>
          <w:sz w:val="32"/>
          <w:szCs w:val="32"/>
          <w:highlight w:val="none"/>
          <w:lang w:val="en-US" w:eastAsia="zh-CN"/>
        </w:rPr>
        <w:t>993.37</w:t>
      </w:r>
      <w:r>
        <w:rPr>
          <w:rFonts w:ascii="仿宋" w:hAnsi="仿宋" w:eastAsia="仿宋" w:cs="仿宋_GB2312"/>
          <w:sz w:val="32"/>
          <w:szCs w:val="32"/>
          <w:highlight w:val="none"/>
        </w:rPr>
        <w:t>万元</w:t>
      </w:r>
      <w:r>
        <w:rPr>
          <w:rFonts w:hint="eastAsia" w:ascii="仿宋" w:hAnsi="仿宋" w:eastAsia="仿宋" w:cs="仿宋_GB2312"/>
          <w:sz w:val="32"/>
          <w:szCs w:val="32"/>
          <w:highlight w:val="none"/>
        </w:rPr>
        <w:t>。</w:t>
      </w:r>
    </w:p>
    <w:p>
      <w:pPr>
        <w:autoSpaceDE w:val="0"/>
        <w:autoSpaceDN w:val="0"/>
        <w:adjustRightInd w:val="0"/>
        <w:spacing w:line="600" w:lineRule="exact"/>
        <w:ind w:left="160" w:leftChars="76" w:firstLine="480" w:firstLineChars="150"/>
        <w:rPr>
          <w:rFonts w:ascii="仿宋" w:hAnsi="仿宋" w:eastAsia="仿宋" w:cs="仿宋_GB2312"/>
          <w:sz w:val="32"/>
          <w:szCs w:val="32"/>
          <w:highlight w:val="none"/>
        </w:rPr>
      </w:pPr>
      <w:r>
        <w:rPr>
          <w:rFonts w:hint="eastAsia" w:ascii="仿宋" w:hAnsi="仿宋" w:eastAsia="仿宋" w:cs="仿宋_GB2312"/>
          <w:sz w:val="32"/>
          <w:szCs w:val="32"/>
          <w:highlight w:val="none"/>
        </w:rPr>
        <w:t>2.政府性基金预算财政拨款收入</w:t>
      </w:r>
      <w:r>
        <w:rPr>
          <w:rFonts w:hint="eastAsia" w:ascii="仿宋" w:hAnsi="仿宋" w:eastAsia="仿宋" w:cs="仿宋_GB2312"/>
          <w:sz w:val="32"/>
          <w:szCs w:val="32"/>
          <w:highlight w:val="none"/>
          <w:lang w:val="en-US" w:eastAsia="zh-CN"/>
        </w:rPr>
        <w:t>0</w:t>
      </w:r>
      <w:r>
        <w:rPr>
          <w:rFonts w:ascii="仿宋" w:hAnsi="仿宋" w:eastAsia="仿宋" w:cs="仿宋_GB2312"/>
          <w:sz w:val="32"/>
          <w:szCs w:val="32"/>
          <w:highlight w:val="none"/>
        </w:rPr>
        <w:t>万元。</w:t>
      </w:r>
    </w:p>
    <w:p>
      <w:pPr>
        <w:autoSpaceDE w:val="0"/>
        <w:autoSpaceDN w:val="0"/>
        <w:adjustRightInd w:val="0"/>
        <w:spacing w:line="600" w:lineRule="exact"/>
        <w:ind w:left="160" w:leftChars="76" w:firstLine="480" w:firstLineChars="150"/>
        <w:rPr>
          <w:rFonts w:ascii="仿宋" w:hAnsi="仿宋" w:eastAsia="仿宋"/>
          <w:sz w:val="32"/>
          <w:szCs w:val="32"/>
          <w:highlight w:val="none"/>
        </w:rPr>
      </w:pPr>
      <w:r>
        <w:rPr>
          <w:rFonts w:hint="eastAsia" w:ascii="仿宋" w:hAnsi="仿宋" w:eastAsia="仿宋" w:cs="仿宋_GB2312"/>
          <w:sz w:val="32"/>
          <w:szCs w:val="32"/>
          <w:highlight w:val="none"/>
        </w:rPr>
        <w:t>3.国有资本经营预算财政拨款收入</w:t>
      </w:r>
      <w:r>
        <w:rPr>
          <w:rFonts w:hint="eastAsia" w:ascii="仿宋" w:hAnsi="仿宋" w:eastAsia="仿宋" w:cs="仿宋_GB2312"/>
          <w:sz w:val="32"/>
          <w:szCs w:val="32"/>
          <w:highlight w:val="none"/>
          <w:lang w:val="en-US" w:eastAsia="zh-CN"/>
        </w:rPr>
        <w:t>0</w:t>
      </w:r>
      <w:r>
        <w:rPr>
          <w:rFonts w:ascii="仿宋" w:hAnsi="仿宋" w:eastAsia="仿宋" w:cs="仿宋_GB2312"/>
          <w:sz w:val="32"/>
          <w:szCs w:val="32"/>
          <w:highlight w:val="none"/>
        </w:rPr>
        <w:t>万元。</w:t>
      </w:r>
    </w:p>
    <w:p>
      <w:pPr>
        <w:autoSpaceDE w:val="0"/>
        <w:autoSpaceDN w:val="0"/>
        <w:adjustRightInd w:val="0"/>
        <w:spacing w:line="600" w:lineRule="exact"/>
        <w:ind w:firstLine="640" w:firstLineChars="200"/>
        <w:rPr>
          <w:rFonts w:ascii="仿宋" w:hAnsi="仿宋" w:eastAsia="仿宋"/>
          <w:sz w:val="32"/>
          <w:szCs w:val="32"/>
          <w:highlight w:val="none"/>
        </w:rPr>
      </w:pPr>
      <w:r>
        <w:rPr>
          <w:rFonts w:hint="eastAsia" w:ascii="仿宋" w:hAnsi="仿宋" w:eastAsia="仿宋" w:cs="仿宋_GB2312"/>
          <w:sz w:val="32"/>
          <w:szCs w:val="32"/>
          <w:highlight w:val="none"/>
        </w:rPr>
        <w:t>4</w:t>
      </w:r>
      <w:r>
        <w:rPr>
          <w:rFonts w:ascii="仿宋" w:hAnsi="仿宋" w:eastAsia="仿宋" w:cs="仿宋_GB2312"/>
          <w:sz w:val="32"/>
          <w:szCs w:val="32"/>
          <w:highlight w:val="none"/>
        </w:rPr>
        <w:t>.</w:t>
      </w:r>
      <w:r>
        <w:rPr>
          <w:rFonts w:hint="eastAsia" w:ascii="仿宋" w:hAnsi="仿宋" w:eastAsia="仿宋"/>
          <w:sz w:val="32"/>
          <w:szCs w:val="32"/>
          <w:highlight w:val="none"/>
        </w:rPr>
        <w:t xml:space="preserve"> 上级补助收入</w:t>
      </w:r>
      <w:r>
        <w:rPr>
          <w:rFonts w:hint="eastAsia" w:ascii="仿宋" w:hAnsi="仿宋" w:eastAsia="仿宋" w:cs="仿宋_GB2312"/>
          <w:sz w:val="32"/>
          <w:szCs w:val="32"/>
          <w:highlight w:val="none"/>
          <w:lang w:val="en-US" w:eastAsia="zh-CN"/>
        </w:rPr>
        <w:t>0</w:t>
      </w:r>
      <w:r>
        <w:rPr>
          <w:rFonts w:hint="eastAsia" w:ascii="仿宋" w:hAnsi="仿宋" w:eastAsia="仿宋"/>
          <w:sz w:val="32"/>
          <w:szCs w:val="32"/>
          <w:highlight w:val="none"/>
        </w:rPr>
        <w:t>万元。</w:t>
      </w:r>
    </w:p>
    <w:p>
      <w:pPr>
        <w:autoSpaceDE w:val="0"/>
        <w:autoSpaceDN w:val="0"/>
        <w:adjustRightInd w:val="0"/>
        <w:spacing w:line="600" w:lineRule="exact"/>
        <w:ind w:firstLine="640" w:firstLineChars="200"/>
        <w:rPr>
          <w:rFonts w:ascii="仿宋" w:hAnsi="仿宋" w:eastAsia="仿宋"/>
          <w:sz w:val="32"/>
          <w:szCs w:val="32"/>
          <w:highlight w:val="none"/>
        </w:rPr>
      </w:pPr>
      <w:r>
        <w:rPr>
          <w:rFonts w:hint="eastAsia" w:ascii="仿宋" w:hAnsi="仿宋" w:eastAsia="仿宋" w:cs="仿宋_GB2312"/>
          <w:sz w:val="32"/>
          <w:szCs w:val="32"/>
          <w:highlight w:val="none"/>
        </w:rPr>
        <w:t>5</w:t>
      </w:r>
      <w:r>
        <w:rPr>
          <w:rFonts w:ascii="仿宋" w:hAnsi="仿宋" w:eastAsia="仿宋" w:cs="仿宋_GB2312"/>
          <w:sz w:val="32"/>
          <w:szCs w:val="32"/>
          <w:highlight w:val="none"/>
        </w:rPr>
        <w:t>.事业收入</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万元。</w:t>
      </w:r>
    </w:p>
    <w:p>
      <w:pPr>
        <w:autoSpaceDE w:val="0"/>
        <w:autoSpaceDN w:val="0"/>
        <w:adjustRightInd w:val="0"/>
        <w:spacing w:line="600" w:lineRule="exact"/>
        <w:ind w:firstLine="640" w:firstLineChars="200"/>
        <w:rPr>
          <w:rFonts w:ascii="仿宋" w:hAnsi="仿宋" w:eastAsia="仿宋"/>
          <w:sz w:val="32"/>
          <w:szCs w:val="32"/>
          <w:highlight w:val="none"/>
        </w:rPr>
      </w:pPr>
      <w:r>
        <w:rPr>
          <w:rFonts w:hint="eastAsia" w:ascii="仿宋" w:hAnsi="仿宋" w:eastAsia="仿宋" w:cs="仿宋_GB2312"/>
          <w:sz w:val="32"/>
          <w:szCs w:val="32"/>
          <w:highlight w:val="none"/>
        </w:rPr>
        <w:t>6</w:t>
      </w:r>
      <w:r>
        <w:rPr>
          <w:rFonts w:ascii="仿宋" w:hAnsi="仿宋" w:eastAsia="仿宋" w:cs="仿宋_GB2312"/>
          <w:sz w:val="32"/>
          <w:szCs w:val="32"/>
          <w:highlight w:val="none"/>
        </w:rPr>
        <w:t>.经营收入</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万元。</w:t>
      </w:r>
    </w:p>
    <w:p>
      <w:pPr>
        <w:autoSpaceDE w:val="0"/>
        <w:autoSpaceDN w:val="0"/>
        <w:adjustRightInd w:val="0"/>
        <w:spacing w:line="600" w:lineRule="exact"/>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7</w:t>
      </w:r>
      <w:r>
        <w:rPr>
          <w:rFonts w:ascii="仿宋" w:hAnsi="仿宋" w:eastAsia="仿宋" w:cs="仿宋_GB2312"/>
          <w:sz w:val="32"/>
          <w:szCs w:val="32"/>
          <w:highlight w:val="none"/>
        </w:rPr>
        <w:t>.附属单位上缴收入</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万元。</w:t>
      </w:r>
    </w:p>
    <w:p>
      <w:pPr>
        <w:autoSpaceDE w:val="0"/>
        <w:autoSpaceDN w:val="0"/>
        <w:adjustRightInd w:val="0"/>
        <w:spacing w:line="600" w:lineRule="exact"/>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8</w:t>
      </w:r>
      <w:r>
        <w:rPr>
          <w:rFonts w:ascii="仿宋" w:hAnsi="仿宋" w:eastAsia="仿宋" w:cs="仿宋_GB2312"/>
          <w:sz w:val="32"/>
          <w:szCs w:val="32"/>
          <w:highlight w:val="none"/>
        </w:rPr>
        <w:t>.其他收入</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万元。</w:t>
      </w:r>
    </w:p>
    <w:p>
      <w:pPr>
        <w:autoSpaceDE w:val="0"/>
        <w:autoSpaceDN w:val="0"/>
        <w:adjustRightInd w:val="0"/>
        <w:spacing w:line="600" w:lineRule="exact"/>
        <w:ind w:firstLine="640" w:firstLineChars="200"/>
        <w:rPr>
          <w:rFonts w:ascii="仿宋" w:hAnsi="仿宋" w:eastAsia="仿宋" w:cs="Times New Roman"/>
          <w:sz w:val="32"/>
          <w:szCs w:val="32"/>
          <w:highlight w:val="none"/>
        </w:rPr>
      </w:pPr>
      <w:r>
        <w:rPr>
          <w:rFonts w:hint="eastAsia" w:ascii="仿宋" w:hAnsi="仿宋" w:eastAsia="仿宋" w:cs="仿宋_GB2312"/>
          <w:sz w:val="32"/>
          <w:szCs w:val="32"/>
          <w:highlight w:val="none"/>
        </w:rPr>
        <w:t>（二）2021年支出</w:t>
      </w:r>
      <w:r>
        <w:rPr>
          <w:rFonts w:hint="eastAsia" w:ascii="仿宋" w:hAnsi="仿宋" w:eastAsia="仿宋" w:cs="仿宋_GB2312"/>
          <w:sz w:val="32"/>
          <w:szCs w:val="32"/>
          <w:highlight w:val="none"/>
          <w:lang w:val="en-US" w:eastAsia="zh-CN"/>
        </w:rPr>
        <w:t>1155.22</w:t>
      </w:r>
      <w:r>
        <w:rPr>
          <w:rFonts w:hint="eastAsia" w:ascii="仿宋" w:hAnsi="仿宋" w:eastAsia="仿宋" w:cs="仿宋_GB2312"/>
          <w:sz w:val="32"/>
          <w:szCs w:val="32"/>
          <w:highlight w:val="none"/>
        </w:rPr>
        <w:t>万元，比上年决算数</w:t>
      </w:r>
      <w:r>
        <w:rPr>
          <w:rFonts w:hint="eastAsia" w:ascii="仿宋" w:hAnsi="仿宋" w:eastAsia="仿宋" w:cs="仿宋_GB2312"/>
          <w:sz w:val="32"/>
          <w:szCs w:val="32"/>
          <w:highlight w:val="none"/>
          <w:lang w:val="en-US" w:eastAsia="zh-CN"/>
        </w:rPr>
        <w:t>减少151.76</w:t>
      </w:r>
      <w:r>
        <w:rPr>
          <w:rFonts w:hint="eastAsia" w:ascii="仿宋" w:hAnsi="仿宋" w:eastAsia="仿宋" w:cs="仿宋_GB2312"/>
          <w:sz w:val="32"/>
          <w:szCs w:val="32"/>
          <w:highlight w:val="none"/>
        </w:rPr>
        <w:t>万元，</w:t>
      </w:r>
      <w:r>
        <w:rPr>
          <w:rFonts w:hint="eastAsia" w:ascii="仿宋" w:hAnsi="仿宋" w:eastAsia="仿宋" w:cs="仿宋_GB2312"/>
          <w:sz w:val="32"/>
          <w:szCs w:val="32"/>
          <w:highlight w:val="none"/>
          <w:lang w:val="en-US" w:eastAsia="zh-CN"/>
        </w:rPr>
        <w:t>下降11.61</w:t>
      </w:r>
      <w:r>
        <w:rPr>
          <w:rFonts w:hint="eastAsia" w:ascii="仿宋" w:hAnsi="仿宋" w:eastAsia="仿宋" w:cs="仿宋_GB2312"/>
          <w:sz w:val="32"/>
          <w:szCs w:val="32"/>
          <w:highlight w:val="none"/>
        </w:rPr>
        <w:t>％</w:t>
      </w:r>
      <w:r>
        <w:rPr>
          <w:rFonts w:hint="eastAsia" w:ascii="仿宋" w:hAnsi="仿宋" w:eastAsia="仿宋"/>
          <w:sz w:val="32"/>
          <w:szCs w:val="32"/>
          <w:highlight w:val="none"/>
        </w:rPr>
        <w:t>，</w:t>
      </w:r>
      <w:r>
        <w:rPr>
          <w:rFonts w:hint="eastAsia" w:ascii="仿宋" w:hAnsi="仿宋" w:eastAsia="仿宋" w:cs="仿宋_GB2312"/>
          <w:sz w:val="32"/>
          <w:szCs w:val="32"/>
          <w:highlight w:val="none"/>
        </w:rPr>
        <w:t>具体情况如下：</w:t>
      </w:r>
    </w:p>
    <w:p>
      <w:pPr>
        <w:tabs>
          <w:tab w:val="left" w:pos="7513"/>
        </w:tabs>
        <w:adjustRightInd w:val="0"/>
        <w:snapToGrid w:val="0"/>
        <w:spacing w:line="600" w:lineRule="exact"/>
        <w:ind w:left="237" w:leftChars="113" w:firstLine="480" w:firstLineChars="150"/>
        <w:rPr>
          <w:rFonts w:ascii="仿宋" w:hAnsi="仿宋" w:eastAsia="仿宋"/>
          <w:sz w:val="32"/>
          <w:szCs w:val="32"/>
          <w:highlight w:val="none"/>
        </w:rPr>
      </w:pPr>
      <w:r>
        <w:rPr>
          <w:rFonts w:ascii="仿宋" w:hAnsi="仿宋" w:eastAsia="仿宋" w:cs="仿宋_GB2312"/>
          <w:sz w:val="32"/>
          <w:szCs w:val="32"/>
          <w:highlight w:val="none"/>
        </w:rPr>
        <w:t>1.</w:t>
      </w:r>
      <w:r>
        <w:rPr>
          <w:rFonts w:hint="eastAsia" w:ascii="仿宋" w:hAnsi="仿宋" w:eastAsia="仿宋" w:cs="仿宋_GB2312"/>
          <w:sz w:val="32"/>
          <w:szCs w:val="32"/>
          <w:highlight w:val="none"/>
        </w:rPr>
        <w:t>基本支出</w:t>
      </w:r>
      <w:r>
        <w:rPr>
          <w:rFonts w:hint="eastAsia" w:ascii="仿宋" w:hAnsi="仿宋" w:eastAsia="仿宋" w:cs="仿宋_GB2312"/>
          <w:sz w:val="32"/>
          <w:szCs w:val="32"/>
          <w:highlight w:val="none"/>
          <w:lang w:val="en-US" w:eastAsia="zh-CN"/>
        </w:rPr>
        <w:t>806.07</w:t>
      </w:r>
      <w:r>
        <w:rPr>
          <w:rFonts w:hint="eastAsia" w:ascii="仿宋" w:hAnsi="仿宋" w:eastAsia="仿宋" w:cs="仿宋_GB2312"/>
          <w:sz w:val="32"/>
          <w:szCs w:val="32"/>
          <w:highlight w:val="none"/>
        </w:rPr>
        <w:t>万元。其中，人员支出</w:t>
      </w:r>
      <w:r>
        <w:rPr>
          <w:rFonts w:hint="eastAsia" w:ascii="仿宋" w:hAnsi="仿宋" w:eastAsia="仿宋" w:cs="仿宋_GB2312"/>
          <w:sz w:val="32"/>
          <w:szCs w:val="32"/>
          <w:highlight w:val="none"/>
          <w:lang w:val="en-US" w:eastAsia="zh-CN"/>
        </w:rPr>
        <w:t>764.1</w:t>
      </w:r>
      <w:r>
        <w:rPr>
          <w:rFonts w:hint="eastAsia" w:ascii="仿宋" w:hAnsi="仿宋" w:eastAsia="仿宋" w:cs="仿宋_GB2312"/>
          <w:sz w:val="32"/>
          <w:szCs w:val="32"/>
          <w:highlight w:val="none"/>
        </w:rPr>
        <w:t>万元，公用支出</w:t>
      </w:r>
      <w:r>
        <w:rPr>
          <w:rFonts w:hint="eastAsia" w:ascii="仿宋" w:hAnsi="仿宋" w:eastAsia="仿宋" w:cs="仿宋_GB2312"/>
          <w:sz w:val="32"/>
          <w:szCs w:val="32"/>
          <w:highlight w:val="none"/>
          <w:lang w:val="en-US" w:eastAsia="zh-CN"/>
        </w:rPr>
        <w:t>41.97</w:t>
      </w:r>
      <w:r>
        <w:rPr>
          <w:rFonts w:hint="eastAsia" w:ascii="仿宋" w:hAnsi="仿宋" w:eastAsia="仿宋" w:cs="仿宋_GB2312"/>
          <w:sz w:val="32"/>
          <w:szCs w:val="32"/>
          <w:highlight w:val="none"/>
        </w:rPr>
        <w:t>万元。</w:t>
      </w:r>
    </w:p>
    <w:p>
      <w:pPr>
        <w:tabs>
          <w:tab w:val="left" w:pos="7513"/>
        </w:tabs>
        <w:adjustRightInd w:val="0"/>
        <w:snapToGrid w:val="0"/>
        <w:spacing w:line="600" w:lineRule="exact"/>
        <w:ind w:left="716" w:leftChars="341"/>
        <w:rPr>
          <w:rFonts w:ascii="仿宋" w:hAnsi="仿宋" w:eastAsia="仿宋"/>
          <w:sz w:val="32"/>
          <w:szCs w:val="32"/>
          <w:highlight w:val="none"/>
        </w:rPr>
      </w:pPr>
      <w:r>
        <w:rPr>
          <w:rFonts w:ascii="仿宋" w:hAnsi="仿宋" w:eastAsia="仿宋" w:cs="仿宋_GB2312"/>
          <w:sz w:val="32"/>
          <w:szCs w:val="32"/>
          <w:highlight w:val="none"/>
        </w:rPr>
        <w:t>2.</w:t>
      </w:r>
      <w:r>
        <w:rPr>
          <w:rFonts w:hint="eastAsia" w:ascii="仿宋" w:hAnsi="仿宋" w:eastAsia="仿宋" w:cs="仿宋_GB2312"/>
          <w:sz w:val="32"/>
          <w:szCs w:val="32"/>
          <w:highlight w:val="none"/>
        </w:rPr>
        <w:t>项目支出</w:t>
      </w:r>
      <w:r>
        <w:rPr>
          <w:rFonts w:hint="eastAsia" w:ascii="仿宋" w:hAnsi="仿宋" w:eastAsia="仿宋" w:cs="仿宋_GB2312"/>
          <w:sz w:val="32"/>
          <w:szCs w:val="32"/>
          <w:highlight w:val="none"/>
          <w:lang w:val="en-US" w:eastAsia="zh-CN"/>
        </w:rPr>
        <w:t>349.15</w:t>
      </w:r>
      <w:r>
        <w:rPr>
          <w:rFonts w:hint="eastAsia" w:ascii="仿宋" w:hAnsi="仿宋" w:eastAsia="仿宋" w:cs="仿宋_GB2312"/>
          <w:sz w:val="32"/>
          <w:szCs w:val="32"/>
          <w:highlight w:val="none"/>
        </w:rPr>
        <w:t>万元。</w:t>
      </w:r>
    </w:p>
    <w:p>
      <w:pPr>
        <w:tabs>
          <w:tab w:val="left" w:pos="7513"/>
        </w:tabs>
        <w:adjustRightInd w:val="0"/>
        <w:snapToGrid w:val="0"/>
        <w:spacing w:line="600" w:lineRule="exact"/>
        <w:ind w:left="716" w:leftChars="341"/>
        <w:rPr>
          <w:rFonts w:ascii="仿宋" w:hAnsi="仿宋" w:eastAsia="仿宋"/>
          <w:sz w:val="32"/>
          <w:szCs w:val="32"/>
          <w:highlight w:val="none"/>
        </w:rPr>
      </w:pPr>
      <w:r>
        <w:rPr>
          <w:rFonts w:ascii="仿宋" w:hAnsi="仿宋" w:eastAsia="仿宋" w:cs="仿宋_GB2312"/>
          <w:sz w:val="32"/>
          <w:szCs w:val="32"/>
          <w:highlight w:val="none"/>
        </w:rPr>
        <w:t>3.</w:t>
      </w:r>
      <w:r>
        <w:rPr>
          <w:rFonts w:hint="eastAsia" w:ascii="仿宋" w:hAnsi="仿宋" w:eastAsia="仿宋" w:cs="仿宋_GB2312"/>
          <w:sz w:val="32"/>
          <w:szCs w:val="32"/>
          <w:highlight w:val="none"/>
        </w:rPr>
        <w:t>上缴上级支出</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万元。</w:t>
      </w:r>
    </w:p>
    <w:p>
      <w:pPr>
        <w:tabs>
          <w:tab w:val="left" w:pos="7513"/>
        </w:tabs>
        <w:adjustRightInd w:val="0"/>
        <w:snapToGrid w:val="0"/>
        <w:spacing w:line="600" w:lineRule="exact"/>
        <w:ind w:firstLine="640" w:firstLineChars="200"/>
        <w:rPr>
          <w:rFonts w:ascii="仿宋" w:hAnsi="仿宋" w:eastAsia="仿宋"/>
          <w:sz w:val="32"/>
          <w:szCs w:val="32"/>
          <w:highlight w:val="none"/>
        </w:rPr>
      </w:pPr>
      <w:r>
        <w:rPr>
          <w:rFonts w:ascii="仿宋" w:hAnsi="仿宋" w:eastAsia="仿宋" w:cs="仿宋_GB2312"/>
          <w:sz w:val="32"/>
          <w:szCs w:val="32"/>
          <w:highlight w:val="none"/>
        </w:rPr>
        <w:t>4.</w:t>
      </w:r>
      <w:r>
        <w:rPr>
          <w:rFonts w:hint="eastAsia" w:ascii="仿宋" w:hAnsi="仿宋" w:eastAsia="仿宋" w:cs="仿宋_GB2312"/>
          <w:sz w:val="32"/>
          <w:szCs w:val="32"/>
          <w:highlight w:val="none"/>
        </w:rPr>
        <w:t>经营支出</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万元。</w:t>
      </w:r>
    </w:p>
    <w:p>
      <w:pPr>
        <w:spacing w:line="600" w:lineRule="exact"/>
        <w:ind w:firstLine="640" w:firstLineChars="200"/>
        <w:rPr>
          <w:rFonts w:ascii="仿宋" w:hAnsi="仿宋" w:eastAsia="仿宋"/>
          <w:sz w:val="32"/>
          <w:szCs w:val="32"/>
          <w:highlight w:val="none"/>
        </w:rPr>
      </w:pPr>
      <w:r>
        <w:rPr>
          <w:rFonts w:ascii="仿宋" w:hAnsi="仿宋" w:eastAsia="仿宋" w:cs="仿宋_GB2312"/>
          <w:sz w:val="32"/>
          <w:szCs w:val="32"/>
          <w:highlight w:val="none"/>
        </w:rPr>
        <w:t>5.</w:t>
      </w:r>
      <w:r>
        <w:rPr>
          <w:rFonts w:hint="eastAsia" w:ascii="仿宋" w:hAnsi="仿宋" w:eastAsia="仿宋" w:cs="仿宋_GB2312"/>
          <w:sz w:val="32"/>
          <w:szCs w:val="32"/>
          <w:highlight w:val="none"/>
        </w:rPr>
        <w:t>对附属单位补助支出</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万元。</w:t>
      </w:r>
    </w:p>
    <w:p>
      <w:pPr>
        <w:spacing w:line="60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二、一般公共预算拨款支出决算情况说明</w:t>
      </w:r>
    </w:p>
    <w:p>
      <w:pPr>
        <w:spacing w:line="600" w:lineRule="exact"/>
        <w:ind w:firstLine="640" w:firstLineChars="200"/>
        <w:rPr>
          <w:rFonts w:ascii="仿宋" w:hAnsi="仿宋" w:eastAsia="仿宋"/>
          <w:sz w:val="32"/>
          <w:szCs w:val="32"/>
          <w:highlight w:val="none"/>
        </w:rPr>
      </w:pPr>
      <w:r>
        <w:rPr>
          <w:rFonts w:hint="eastAsia" w:ascii="仿宋" w:hAnsi="仿宋" w:eastAsia="仿宋" w:cs="仿宋_GB2312"/>
          <w:sz w:val="32"/>
          <w:szCs w:val="32"/>
          <w:highlight w:val="none"/>
        </w:rPr>
        <w:t>2021</w:t>
      </w:r>
      <w:r>
        <w:rPr>
          <w:rFonts w:hint="eastAsia" w:ascii="仿宋" w:hAnsi="仿宋" w:eastAsia="仿宋"/>
          <w:sz w:val="32"/>
          <w:szCs w:val="32"/>
          <w:highlight w:val="none"/>
        </w:rPr>
        <w:t>年一般公共预算拨款支出</w:t>
      </w:r>
      <w:r>
        <w:rPr>
          <w:rFonts w:hint="eastAsia" w:ascii="仿宋" w:hAnsi="仿宋" w:eastAsia="仿宋"/>
          <w:sz w:val="32"/>
          <w:szCs w:val="32"/>
          <w:highlight w:val="none"/>
          <w:lang w:val="en-US" w:eastAsia="zh-CN"/>
        </w:rPr>
        <w:t>1099.18</w:t>
      </w:r>
      <w:r>
        <w:rPr>
          <w:rFonts w:hint="eastAsia" w:ascii="仿宋" w:hAnsi="仿宋" w:eastAsia="仿宋"/>
          <w:sz w:val="32"/>
          <w:szCs w:val="32"/>
          <w:highlight w:val="none"/>
        </w:rPr>
        <w:t>万元，比上年决算数减少</w:t>
      </w:r>
      <w:r>
        <w:rPr>
          <w:rFonts w:hint="eastAsia" w:ascii="仿宋" w:hAnsi="仿宋" w:eastAsia="仿宋"/>
          <w:sz w:val="32"/>
          <w:szCs w:val="32"/>
          <w:highlight w:val="none"/>
          <w:lang w:val="en-US" w:eastAsia="zh-CN"/>
        </w:rPr>
        <w:t>173.23</w:t>
      </w:r>
      <w:r>
        <w:rPr>
          <w:rFonts w:hint="eastAsia" w:ascii="仿宋" w:hAnsi="仿宋" w:eastAsia="仿宋"/>
          <w:sz w:val="32"/>
          <w:szCs w:val="32"/>
          <w:highlight w:val="none"/>
        </w:rPr>
        <w:t>万元，下降</w:t>
      </w:r>
      <w:r>
        <w:rPr>
          <w:rFonts w:hint="eastAsia" w:ascii="仿宋" w:hAnsi="仿宋" w:eastAsia="仿宋"/>
          <w:sz w:val="32"/>
          <w:szCs w:val="32"/>
          <w:highlight w:val="none"/>
          <w:lang w:val="en-US" w:eastAsia="zh-CN"/>
        </w:rPr>
        <w:t>13.61</w:t>
      </w:r>
      <w:r>
        <w:rPr>
          <w:rFonts w:ascii="仿宋" w:hAnsi="仿宋" w:eastAsia="仿宋"/>
          <w:sz w:val="32"/>
          <w:szCs w:val="32"/>
          <w:highlight w:val="none"/>
        </w:rPr>
        <w:t>%，具体情况如下(按</w:t>
      </w:r>
      <w:r>
        <w:rPr>
          <w:rFonts w:ascii="仿宋" w:hAnsi="仿宋" w:eastAsia="仿宋"/>
          <w:b/>
          <w:sz w:val="32"/>
          <w:szCs w:val="32"/>
          <w:highlight w:val="none"/>
        </w:rPr>
        <w:t>项级科目</w:t>
      </w:r>
      <w:r>
        <w:rPr>
          <w:rFonts w:ascii="仿宋" w:hAnsi="仿宋" w:eastAsia="仿宋"/>
          <w:sz w:val="32"/>
          <w:szCs w:val="32"/>
          <w:highlight w:val="none"/>
        </w:rPr>
        <w:t>分类统计)：</w:t>
      </w:r>
    </w:p>
    <w:p>
      <w:pPr>
        <w:spacing w:line="60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（一）</w:t>
      </w:r>
      <w:r>
        <w:rPr>
          <w:rFonts w:hint="eastAsia" w:ascii="仿宋" w:hAnsi="仿宋" w:eastAsia="仿宋"/>
          <w:sz w:val="32"/>
          <w:szCs w:val="32"/>
          <w:highlight w:val="none"/>
          <w:lang w:val="en-US" w:eastAsia="zh-CN"/>
        </w:rPr>
        <w:t>2050701-特殊学校教育865.41</w:t>
      </w:r>
      <w:r>
        <w:rPr>
          <w:rFonts w:hint="eastAsia" w:ascii="仿宋" w:hAnsi="仿宋" w:eastAsia="仿宋"/>
          <w:sz w:val="32"/>
          <w:szCs w:val="32"/>
          <w:highlight w:val="none"/>
        </w:rPr>
        <w:t>万元，较上年决算数减少</w:t>
      </w:r>
      <w:r>
        <w:rPr>
          <w:rFonts w:hint="eastAsia" w:ascii="仿宋" w:hAnsi="仿宋" w:eastAsia="仿宋"/>
          <w:sz w:val="32"/>
          <w:szCs w:val="32"/>
          <w:highlight w:val="none"/>
          <w:lang w:val="en-US" w:eastAsia="zh-CN"/>
        </w:rPr>
        <w:t>208.05</w:t>
      </w:r>
      <w:r>
        <w:rPr>
          <w:rFonts w:hint="eastAsia" w:ascii="仿宋" w:hAnsi="仿宋" w:eastAsia="仿宋"/>
          <w:sz w:val="32"/>
          <w:szCs w:val="32"/>
          <w:highlight w:val="none"/>
        </w:rPr>
        <w:t>万元，下降</w:t>
      </w:r>
      <w:r>
        <w:rPr>
          <w:rFonts w:hint="eastAsia" w:ascii="仿宋" w:hAnsi="仿宋" w:eastAsia="仿宋"/>
          <w:sz w:val="32"/>
          <w:szCs w:val="32"/>
          <w:highlight w:val="none"/>
          <w:lang w:val="en-US" w:eastAsia="zh-CN"/>
        </w:rPr>
        <w:t>19.38</w:t>
      </w:r>
      <w:r>
        <w:rPr>
          <w:rFonts w:ascii="仿宋" w:hAnsi="仿宋" w:eastAsia="仿宋"/>
          <w:sz w:val="32"/>
          <w:szCs w:val="32"/>
          <w:highlight w:val="none"/>
        </w:rPr>
        <w:t>%。主要原因是</w:t>
      </w:r>
      <w:r>
        <w:rPr>
          <w:rFonts w:hint="eastAsia" w:ascii="仿宋" w:hAnsi="仿宋" w:eastAsia="仿宋"/>
          <w:sz w:val="32"/>
          <w:szCs w:val="32"/>
          <w:highlight w:val="none"/>
          <w:lang w:val="en-US" w:eastAsia="zh-CN"/>
        </w:rPr>
        <w:t>本年度</w:t>
      </w:r>
      <w:r>
        <w:rPr>
          <w:rFonts w:hint="eastAsia" w:ascii="仿宋" w:hAnsi="仿宋" w:eastAsia="仿宋"/>
          <w:sz w:val="32"/>
          <w:szCs w:val="32"/>
          <w:highlight w:val="none"/>
        </w:rPr>
        <w:t>调整</w:t>
      </w:r>
      <w:r>
        <w:rPr>
          <w:rFonts w:hint="eastAsia" w:ascii="仿宋" w:hAnsi="仿宋" w:eastAsia="仿宋"/>
          <w:sz w:val="32"/>
          <w:szCs w:val="32"/>
          <w:highlight w:val="none"/>
          <w:lang w:eastAsia="zh-CN"/>
        </w:rPr>
        <w:t>了</w:t>
      </w:r>
      <w:r>
        <w:rPr>
          <w:rFonts w:hint="eastAsia" w:ascii="仿宋" w:hAnsi="仿宋" w:eastAsia="仿宋"/>
          <w:sz w:val="32"/>
          <w:szCs w:val="32"/>
          <w:highlight w:val="none"/>
        </w:rPr>
        <w:t>人员经费、生均公用经费</w:t>
      </w:r>
      <w:r>
        <w:rPr>
          <w:rFonts w:hint="eastAsia" w:ascii="仿宋" w:hAnsi="仿宋" w:eastAsia="仿宋"/>
          <w:sz w:val="32"/>
          <w:szCs w:val="32"/>
          <w:highlight w:val="none"/>
          <w:lang w:val="en-US" w:eastAsia="zh-CN"/>
        </w:rPr>
        <w:t>支出比例</w:t>
      </w:r>
      <w:r>
        <w:rPr>
          <w:rFonts w:ascii="仿宋" w:hAnsi="仿宋" w:eastAsia="仿宋"/>
          <w:sz w:val="32"/>
          <w:szCs w:val="32"/>
          <w:highlight w:val="none"/>
        </w:rPr>
        <w:t>。</w:t>
      </w:r>
    </w:p>
    <w:p>
      <w:pPr>
        <w:spacing w:line="60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（二）</w:t>
      </w:r>
      <w:r>
        <w:rPr>
          <w:rFonts w:hint="eastAsia" w:ascii="仿宋" w:hAnsi="仿宋" w:eastAsia="仿宋"/>
          <w:sz w:val="32"/>
          <w:szCs w:val="32"/>
          <w:highlight w:val="none"/>
          <w:lang w:val="en-US" w:eastAsia="zh-CN"/>
        </w:rPr>
        <w:t>2050799-其他特殊教育支出137.49</w:t>
      </w:r>
      <w:r>
        <w:rPr>
          <w:rFonts w:hint="eastAsia" w:ascii="仿宋" w:hAnsi="仿宋" w:eastAsia="仿宋"/>
          <w:sz w:val="32"/>
          <w:szCs w:val="32"/>
          <w:highlight w:val="none"/>
        </w:rPr>
        <w:t>万元，较上年决算数减少</w:t>
      </w:r>
      <w:r>
        <w:rPr>
          <w:rFonts w:hint="eastAsia" w:ascii="仿宋" w:hAnsi="仿宋" w:eastAsia="仿宋"/>
          <w:sz w:val="32"/>
          <w:szCs w:val="32"/>
          <w:highlight w:val="none"/>
          <w:lang w:val="en-US" w:eastAsia="zh-CN"/>
        </w:rPr>
        <w:t>3.38</w:t>
      </w:r>
      <w:r>
        <w:rPr>
          <w:rFonts w:hint="eastAsia" w:ascii="仿宋" w:hAnsi="仿宋" w:eastAsia="仿宋"/>
          <w:sz w:val="32"/>
          <w:szCs w:val="32"/>
          <w:highlight w:val="none"/>
        </w:rPr>
        <w:t>万元，下降</w:t>
      </w:r>
      <w:r>
        <w:rPr>
          <w:rFonts w:hint="eastAsia" w:ascii="仿宋" w:hAnsi="仿宋" w:eastAsia="仿宋"/>
          <w:sz w:val="32"/>
          <w:szCs w:val="32"/>
          <w:highlight w:val="none"/>
          <w:lang w:val="en-US" w:eastAsia="zh-CN"/>
        </w:rPr>
        <w:t>2.4</w:t>
      </w:r>
      <w:r>
        <w:rPr>
          <w:rFonts w:ascii="仿宋" w:hAnsi="仿宋" w:eastAsia="仿宋"/>
          <w:sz w:val="32"/>
          <w:szCs w:val="32"/>
          <w:highlight w:val="none"/>
        </w:rPr>
        <w:t>%。主要原因是</w:t>
      </w:r>
      <w:r>
        <w:rPr>
          <w:rFonts w:hint="eastAsia" w:ascii="仿宋" w:hAnsi="仿宋" w:eastAsia="仿宋"/>
          <w:sz w:val="32"/>
          <w:szCs w:val="32"/>
          <w:highlight w:val="none"/>
          <w:lang w:val="en-US" w:eastAsia="zh-CN"/>
        </w:rPr>
        <w:t>本年度</w:t>
      </w:r>
      <w:r>
        <w:rPr>
          <w:rFonts w:hint="eastAsia" w:ascii="仿宋" w:hAnsi="仿宋" w:eastAsia="仿宋"/>
          <w:sz w:val="32"/>
          <w:szCs w:val="32"/>
          <w:highlight w:val="none"/>
        </w:rPr>
        <w:t>调整</w:t>
      </w:r>
      <w:r>
        <w:rPr>
          <w:rFonts w:hint="eastAsia" w:ascii="仿宋" w:hAnsi="仿宋" w:eastAsia="仿宋"/>
          <w:sz w:val="32"/>
          <w:szCs w:val="32"/>
          <w:highlight w:val="none"/>
          <w:lang w:eastAsia="zh-CN"/>
        </w:rPr>
        <w:t>了</w:t>
      </w:r>
      <w:r>
        <w:rPr>
          <w:rFonts w:hint="eastAsia" w:ascii="仿宋" w:hAnsi="仿宋" w:eastAsia="仿宋"/>
          <w:sz w:val="32"/>
          <w:szCs w:val="32"/>
          <w:highlight w:val="none"/>
        </w:rPr>
        <w:t>人员经费、生均公用经费</w:t>
      </w:r>
      <w:r>
        <w:rPr>
          <w:rFonts w:hint="eastAsia" w:ascii="仿宋" w:hAnsi="仿宋" w:eastAsia="仿宋"/>
          <w:sz w:val="32"/>
          <w:szCs w:val="32"/>
          <w:highlight w:val="none"/>
          <w:lang w:val="en-US" w:eastAsia="zh-CN"/>
        </w:rPr>
        <w:t>支出比例</w:t>
      </w:r>
      <w:r>
        <w:rPr>
          <w:rFonts w:ascii="仿宋" w:hAnsi="仿宋" w:eastAsia="仿宋"/>
          <w:sz w:val="32"/>
          <w:szCs w:val="32"/>
          <w:highlight w:val="none"/>
        </w:rPr>
        <w:t>。</w:t>
      </w:r>
    </w:p>
    <w:p>
      <w:pPr>
        <w:spacing w:line="60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（三）</w:t>
      </w:r>
      <w:r>
        <w:rPr>
          <w:rFonts w:hint="eastAsia" w:ascii="仿宋" w:hAnsi="仿宋" w:eastAsia="仿宋"/>
          <w:sz w:val="32"/>
          <w:szCs w:val="32"/>
          <w:highlight w:val="none"/>
          <w:lang w:val="en-US" w:eastAsia="zh-CN"/>
        </w:rPr>
        <w:t>2050999-其他教育费附加安排的支出58.77</w:t>
      </w:r>
      <w:r>
        <w:rPr>
          <w:rFonts w:hint="eastAsia" w:ascii="仿宋" w:hAnsi="仿宋" w:eastAsia="仿宋"/>
          <w:sz w:val="32"/>
          <w:szCs w:val="32"/>
          <w:highlight w:val="none"/>
        </w:rPr>
        <w:t>万元，较上年决算数增加</w:t>
      </w:r>
      <w:r>
        <w:rPr>
          <w:rFonts w:hint="eastAsia" w:ascii="仿宋" w:hAnsi="仿宋" w:eastAsia="仿宋"/>
          <w:sz w:val="32"/>
          <w:szCs w:val="32"/>
          <w:highlight w:val="none"/>
          <w:lang w:val="en-US" w:eastAsia="zh-CN"/>
        </w:rPr>
        <w:t>29.39</w:t>
      </w:r>
      <w:r>
        <w:rPr>
          <w:rFonts w:hint="eastAsia" w:ascii="仿宋" w:hAnsi="仿宋" w:eastAsia="仿宋"/>
          <w:sz w:val="32"/>
          <w:szCs w:val="32"/>
          <w:highlight w:val="none"/>
        </w:rPr>
        <w:t>万元，增长</w:t>
      </w:r>
      <w:r>
        <w:rPr>
          <w:rFonts w:hint="eastAsia" w:ascii="仿宋" w:hAnsi="仿宋" w:eastAsia="仿宋"/>
          <w:sz w:val="32"/>
          <w:szCs w:val="32"/>
          <w:highlight w:val="none"/>
          <w:lang w:val="en-US" w:eastAsia="zh-CN"/>
        </w:rPr>
        <w:t>100.03</w:t>
      </w:r>
      <w:r>
        <w:rPr>
          <w:rFonts w:ascii="仿宋" w:hAnsi="仿宋" w:eastAsia="仿宋"/>
          <w:sz w:val="32"/>
          <w:szCs w:val="32"/>
          <w:highlight w:val="none"/>
        </w:rPr>
        <w:t>%。主要原因是</w:t>
      </w:r>
      <w:r>
        <w:rPr>
          <w:rFonts w:hint="eastAsia" w:ascii="仿宋" w:hAnsi="仿宋" w:eastAsia="仿宋"/>
          <w:sz w:val="32"/>
          <w:szCs w:val="32"/>
          <w:highlight w:val="none"/>
          <w:lang w:val="en-US" w:eastAsia="zh-CN"/>
        </w:rPr>
        <w:t>本年度</w:t>
      </w:r>
      <w:r>
        <w:rPr>
          <w:rFonts w:hint="eastAsia" w:ascii="仿宋" w:hAnsi="仿宋" w:eastAsia="仿宋"/>
          <w:sz w:val="32"/>
          <w:szCs w:val="32"/>
          <w:highlight w:val="none"/>
        </w:rPr>
        <w:t>调整</w:t>
      </w:r>
      <w:r>
        <w:rPr>
          <w:rFonts w:hint="eastAsia" w:ascii="仿宋" w:hAnsi="仿宋" w:eastAsia="仿宋"/>
          <w:sz w:val="32"/>
          <w:szCs w:val="32"/>
          <w:highlight w:val="none"/>
          <w:lang w:eastAsia="zh-CN"/>
        </w:rPr>
        <w:t>了</w:t>
      </w:r>
      <w:r>
        <w:rPr>
          <w:rFonts w:hint="eastAsia" w:ascii="仿宋" w:hAnsi="仿宋" w:eastAsia="仿宋"/>
          <w:sz w:val="32"/>
          <w:szCs w:val="32"/>
          <w:highlight w:val="none"/>
        </w:rPr>
        <w:t>人员经费、生均公用经费</w:t>
      </w:r>
      <w:r>
        <w:rPr>
          <w:rFonts w:hint="eastAsia" w:ascii="仿宋" w:hAnsi="仿宋" w:eastAsia="仿宋"/>
          <w:sz w:val="32"/>
          <w:szCs w:val="32"/>
          <w:highlight w:val="none"/>
          <w:lang w:val="en-US" w:eastAsia="zh-CN"/>
        </w:rPr>
        <w:t>支出比例</w:t>
      </w:r>
      <w:r>
        <w:rPr>
          <w:rFonts w:ascii="仿宋" w:hAnsi="仿宋" w:eastAsia="仿宋"/>
          <w:sz w:val="32"/>
          <w:szCs w:val="32"/>
          <w:highlight w:val="none"/>
        </w:rPr>
        <w:t>。</w:t>
      </w:r>
    </w:p>
    <w:p>
      <w:pPr>
        <w:spacing w:line="60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四</w:t>
      </w:r>
      <w:r>
        <w:rPr>
          <w:rFonts w:hint="eastAsia" w:ascii="仿宋" w:hAnsi="仿宋" w:eastAsia="仿宋"/>
          <w:sz w:val="32"/>
          <w:szCs w:val="32"/>
          <w:highlight w:val="none"/>
          <w:lang w:eastAsia="zh-CN"/>
        </w:rPr>
        <w:t>）2059999-其他教育支出</w:t>
      </w:r>
      <w:r>
        <w:rPr>
          <w:rFonts w:hint="eastAsia" w:ascii="仿宋" w:hAnsi="仿宋" w:eastAsia="仿宋"/>
          <w:sz w:val="32"/>
          <w:szCs w:val="32"/>
          <w:highlight w:val="none"/>
          <w:lang w:val="en-US" w:eastAsia="zh-CN"/>
        </w:rPr>
        <w:t>32.62万元，</w:t>
      </w:r>
      <w:r>
        <w:rPr>
          <w:rFonts w:hint="eastAsia" w:ascii="仿宋" w:hAnsi="仿宋" w:eastAsia="仿宋"/>
          <w:sz w:val="32"/>
          <w:szCs w:val="32"/>
          <w:highlight w:val="none"/>
        </w:rPr>
        <w:t>较上年决算数增加</w:t>
      </w:r>
      <w:r>
        <w:rPr>
          <w:rFonts w:hint="eastAsia" w:ascii="仿宋" w:hAnsi="仿宋" w:eastAsia="仿宋"/>
          <w:sz w:val="32"/>
          <w:szCs w:val="32"/>
          <w:highlight w:val="none"/>
          <w:lang w:val="en-US" w:eastAsia="zh-CN"/>
        </w:rPr>
        <w:t>9.64</w:t>
      </w:r>
      <w:r>
        <w:rPr>
          <w:rFonts w:hint="eastAsia" w:ascii="仿宋" w:hAnsi="仿宋" w:eastAsia="仿宋"/>
          <w:sz w:val="32"/>
          <w:szCs w:val="32"/>
          <w:highlight w:val="none"/>
        </w:rPr>
        <w:t>万元，增长</w:t>
      </w:r>
      <w:r>
        <w:rPr>
          <w:rFonts w:hint="eastAsia" w:ascii="仿宋" w:hAnsi="仿宋" w:eastAsia="仿宋"/>
          <w:sz w:val="32"/>
          <w:szCs w:val="32"/>
          <w:highlight w:val="none"/>
          <w:lang w:val="en-US" w:eastAsia="zh-CN"/>
        </w:rPr>
        <w:t>41.95</w:t>
      </w:r>
      <w:r>
        <w:rPr>
          <w:rFonts w:ascii="仿宋" w:hAnsi="仿宋" w:eastAsia="仿宋"/>
          <w:sz w:val="32"/>
          <w:szCs w:val="32"/>
          <w:highlight w:val="none"/>
        </w:rPr>
        <w:t>%。主要原因是</w:t>
      </w:r>
      <w:r>
        <w:rPr>
          <w:rFonts w:hint="eastAsia" w:ascii="仿宋" w:hAnsi="仿宋" w:eastAsia="仿宋"/>
          <w:sz w:val="32"/>
          <w:szCs w:val="32"/>
          <w:highlight w:val="none"/>
          <w:lang w:val="en-US" w:eastAsia="zh-CN"/>
        </w:rPr>
        <w:t>本年度</w:t>
      </w:r>
      <w:r>
        <w:rPr>
          <w:rFonts w:hint="eastAsia" w:ascii="仿宋" w:hAnsi="仿宋" w:eastAsia="仿宋"/>
          <w:sz w:val="32"/>
          <w:szCs w:val="32"/>
          <w:highlight w:val="none"/>
        </w:rPr>
        <w:t>调整</w:t>
      </w:r>
      <w:r>
        <w:rPr>
          <w:rFonts w:hint="eastAsia" w:ascii="仿宋" w:hAnsi="仿宋" w:eastAsia="仿宋"/>
          <w:sz w:val="32"/>
          <w:szCs w:val="32"/>
          <w:highlight w:val="none"/>
          <w:lang w:eastAsia="zh-CN"/>
        </w:rPr>
        <w:t>了</w:t>
      </w:r>
      <w:r>
        <w:rPr>
          <w:rFonts w:hint="eastAsia" w:ascii="仿宋" w:hAnsi="仿宋" w:eastAsia="仿宋"/>
          <w:sz w:val="32"/>
          <w:szCs w:val="32"/>
          <w:highlight w:val="none"/>
        </w:rPr>
        <w:t>人员经费、生均公用经费</w:t>
      </w:r>
      <w:r>
        <w:rPr>
          <w:rFonts w:hint="eastAsia" w:ascii="仿宋" w:hAnsi="仿宋" w:eastAsia="仿宋"/>
          <w:sz w:val="32"/>
          <w:szCs w:val="32"/>
          <w:highlight w:val="none"/>
          <w:lang w:val="en-US" w:eastAsia="zh-CN"/>
        </w:rPr>
        <w:t>支出比例</w:t>
      </w:r>
      <w:r>
        <w:rPr>
          <w:rFonts w:ascii="仿宋" w:hAnsi="仿宋" w:eastAsia="仿宋"/>
          <w:sz w:val="32"/>
          <w:szCs w:val="32"/>
          <w:highlight w:val="none"/>
        </w:rPr>
        <w:t>。</w:t>
      </w:r>
    </w:p>
    <w:p>
      <w:pPr>
        <w:spacing w:line="60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五</w:t>
      </w:r>
      <w:r>
        <w:rPr>
          <w:rFonts w:hint="eastAsia" w:ascii="仿宋" w:hAnsi="仿宋" w:eastAsia="仿宋"/>
          <w:sz w:val="32"/>
          <w:szCs w:val="32"/>
          <w:highlight w:val="none"/>
          <w:lang w:eastAsia="zh-CN"/>
        </w:rPr>
        <w:t>）2080801-死亡抚恤支出</w:t>
      </w:r>
      <w:r>
        <w:rPr>
          <w:rFonts w:hint="eastAsia" w:ascii="仿宋" w:hAnsi="仿宋" w:eastAsia="仿宋"/>
          <w:sz w:val="32"/>
          <w:szCs w:val="32"/>
          <w:highlight w:val="none"/>
          <w:lang w:val="en-US" w:eastAsia="zh-CN"/>
        </w:rPr>
        <w:t>4.89万元，</w:t>
      </w:r>
      <w:r>
        <w:rPr>
          <w:rFonts w:hint="eastAsia" w:ascii="仿宋" w:hAnsi="仿宋" w:eastAsia="仿宋"/>
          <w:sz w:val="32"/>
          <w:szCs w:val="32"/>
          <w:highlight w:val="none"/>
        </w:rPr>
        <w:t>较上年决算数减少</w:t>
      </w:r>
      <w:r>
        <w:rPr>
          <w:rFonts w:hint="eastAsia" w:ascii="仿宋" w:hAnsi="仿宋" w:eastAsia="仿宋"/>
          <w:sz w:val="32"/>
          <w:szCs w:val="32"/>
          <w:highlight w:val="none"/>
          <w:lang w:val="en-US" w:eastAsia="zh-CN"/>
        </w:rPr>
        <w:t>0.83</w:t>
      </w:r>
      <w:r>
        <w:rPr>
          <w:rFonts w:hint="eastAsia" w:ascii="仿宋" w:hAnsi="仿宋" w:eastAsia="仿宋"/>
          <w:sz w:val="32"/>
          <w:szCs w:val="32"/>
          <w:highlight w:val="none"/>
        </w:rPr>
        <w:t>万元，下降</w:t>
      </w:r>
      <w:r>
        <w:rPr>
          <w:rFonts w:hint="eastAsia" w:ascii="仿宋" w:hAnsi="仿宋" w:eastAsia="仿宋"/>
          <w:sz w:val="32"/>
          <w:szCs w:val="32"/>
          <w:highlight w:val="none"/>
          <w:lang w:val="en-US" w:eastAsia="zh-CN"/>
        </w:rPr>
        <w:t>14.51</w:t>
      </w:r>
      <w:r>
        <w:rPr>
          <w:rFonts w:ascii="仿宋" w:hAnsi="仿宋" w:eastAsia="仿宋"/>
          <w:sz w:val="32"/>
          <w:szCs w:val="32"/>
          <w:highlight w:val="none"/>
        </w:rPr>
        <w:t>%。主要原因是</w:t>
      </w:r>
      <w:r>
        <w:rPr>
          <w:rFonts w:hint="eastAsia" w:ascii="仿宋" w:hAnsi="仿宋" w:eastAsia="仿宋"/>
          <w:sz w:val="32"/>
          <w:szCs w:val="32"/>
          <w:highlight w:val="none"/>
          <w:lang w:val="en-US" w:eastAsia="zh-CN"/>
        </w:rPr>
        <w:t>两位死亡教师退休时职级不同</w:t>
      </w:r>
      <w:r>
        <w:rPr>
          <w:rFonts w:ascii="仿宋" w:hAnsi="仿宋" w:eastAsia="仿宋"/>
          <w:sz w:val="32"/>
          <w:szCs w:val="32"/>
          <w:highlight w:val="none"/>
        </w:rPr>
        <w:t>。</w:t>
      </w:r>
    </w:p>
    <w:p>
      <w:pPr>
        <w:tabs>
          <w:tab w:val="left" w:pos="7513"/>
        </w:tabs>
        <w:adjustRightInd w:val="0"/>
        <w:snapToGrid w:val="0"/>
        <w:spacing w:line="600" w:lineRule="exact"/>
        <w:ind w:firstLine="640" w:firstLineChars="200"/>
        <w:rPr>
          <w:rFonts w:ascii="黑体" w:hAnsi="黑体" w:eastAsia="黑体" w:cs="仿宋_GB2312"/>
          <w:bCs/>
          <w:sz w:val="32"/>
          <w:szCs w:val="32"/>
          <w:highlight w:val="none"/>
        </w:rPr>
      </w:pPr>
      <w:r>
        <w:rPr>
          <w:rFonts w:hint="eastAsia" w:ascii="黑体" w:hAnsi="黑体" w:eastAsia="黑体" w:cs="仿宋_GB2312"/>
          <w:bCs/>
          <w:sz w:val="32"/>
          <w:szCs w:val="32"/>
          <w:highlight w:val="none"/>
        </w:rPr>
        <w:t>三、政府性基金预算财政拨款支出决算情况说明</w:t>
      </w:r>
    </w:p>
    <w:p>
      <w:pPr>
        <w:tabs>
          <w:tab w:val="left" w:pos="7513"/>
        </w:tabs>
        <w:adjustRightInd w:val="0"/>
        <w:snapToGrid w:val="0"/>
        <w:spacing w:line="600" w:lineRule="exact"/>
        <w:ind w:firstLine="640" w:firstLineChars="200"/>
        <w:rPr>
          <w:rFonts w:ascii="楷体" w:hAnsi="楷体" w:eastAsia="楷体" w:cs="仿宋_GB2312"/>
          <w:sz w:val="32"/>
          <w:szCs w:val="32"/>
          <w:highlight w:val="none"/>
        </w:rPr>
      </w:pPr>
      <w:r>
        <w:rPr>
          <w:rFonts w:hint="eastAsia" w:ascii="楷体" w:hAnsi="楷体" w:eastAsia="楷体" w:cs="仿宋_GB2312"/>
          <w:sz w:val="32"/>
          <w:szCs w:val="32"/>
          <w:highlight w:val="none"/>
        </w:rPr>
        <w:t>本单位2021年度没有使用政府性基金预算拨款安排的支出。</w:t>
      </w:r>
    </w:p>
    <w:p>
      <w:pPr>
        <w:tabs>
          <w:tab w:val="left" w:pos="7513"/>
        </w:tabs>
        <w:adjustRightInd w:val="0"/>
        <w:snapToGrid w:val="0"/>
        <w:spacing w:line="600" w:lineRule="exact"/>
        <w:ind w:firstLine="640" w:firstLineChars="200"/>
        <w:rPr>
          <w:rFonts w:ascii="黑体" w:hAnsi="黑体" w:eastAsia="黑体" w:cs="仿宋_GB2312"/>
          <w:bCs/>
          <w:sz w:val="32"/>
          <w:szCs w:val="32"/>
          <w:highlight w:val="none"/>
        </w:rPr>
      </w:pPr>
      <w:r>
        <w:rPr>
          <w:rFonts w:hint="eastAsia" w:ascii="黑体" w:hAnsi="黑体" w:eastAsia="黑体" w:cs="仿宋_GB2312"/>
          <w:bCs/>
          <w:sz w:val="32"/>
          <w:szCs w:val="32"/>
          <w:highlight w:val="none"/>
        </w:rPr>
        <w:t>四、国有资本经营预算财政拨款支出决算情况说明</w:t>
      </w:r>
    </w:p>
    <w:p>
      <w:pPr>
        <w:tabs>
          <w:tab w:val="left" w:pos="7513"/>
        </w:tabs>
        <w:adjustRightInd w:val="0"/>
        <w:snapToGrid w:val="0"/>
        <w:spacing w:line="600" w:lineRule="exact"/>
        <w:ind w:firstLine="640" w:firstLineChars="200"/>
        <w:rPr>
          <w:rFonts w:ascii="楷体" w:hAnsi="楷体" w:eastAsia="楷体" w:cs="仿宋_GB2312"/>
          <w:sz w:val="32"/>
          <w:szCs w:val="32"/>
          <w:highlight w:val="none"/>
        </w:rPr>
      </w:pPr>
      <w:r>
        <w:rPr>
          <w:rFonts w:hint="eastAsia" w:ascii="楷体" w:hAnsi="楷体" w:eastAsia="楷体" w:cs="仿宋_GB2312"/>
          <w:sz w:val="32"/>
          <w:szCs w:val="32"/>
          <w:highlight w:val="none"/>
        </w:rPr>
        <w:t>本单位2021年度没有使用国有资本经营预算财政拨款安排的支出。</w:t>
      </w:r>
    </w:p>
    <w:p>
      <w:pPr>
        <w:tabs>
          <w:tab w:val="left" w:pos="7513"/>
        </w:tabs>
        <w:adjustRightInd w:val="0"/>
        <w:snapToGrid w:val="0"/>
        <w:spacing w:line="600" w:lineRule="exact"/>
        <w:ind w:firstLine="640" w:firstLineChars="200"/>
        <w:rPr>
          <w:rFonts w:ascii="黑体" w:hAnsi="黑体" w:eastAsia="黑体" w:cs="仿宋_GB2312"/>
          <w:bCs/>
          <w:sz w:val="32"/>
          <w:szCs w:val="32"/>
          <w:highlight w:val="none"/>
        </w:rPr>
      </w:pPr>
      <w:r>
        <w:rPr>
          <w:rFonts w:hint="eastAsia" w:ascii="黑体" w:hAnsi="黑体" w:eastAsia="黑体" w:cs="仿宋_GB2312"/>
          <w:bCs/>
          <w:sz w:val="32"/>
          <w:szCs w:val="32"/>
          <w:highlight w:val="none"/>
        </w:rPr>
        <w:t>五、一般公共预算财政拨款基本支出决算情况说明</w:t>
      </w:r>
    </w:p>
    <w:p>
      <w:pPr>
        <w:tabs>
          <w:tab w:val="left" w:pos="7513"/>
        </w:tabs>
        <w:adjustRightInd w:val="0"/>
        <w:snapToGrid w:val="0"/>
        <w:spacing w:line="600" w:lineRule="exact"/>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2021年度</w:t>
      </w:r>
      <w:r>
        <w:rPr>
          <w:rFonts w:hint="eastAsia" w:ascii="仿宋" w:hAnsi="仿宋" w:eastAsia="仿宋"/>
          <w:sz w:val="32"/>
          <w:szCs w:val="32"/>
          <w:highlight w:val="none"/>
        </w:rPr>
        <w:t>一般公共预算</w:t>
      </w:r>
      <w:r>
        <w:rPr>
          <w:rFonts w:hint="eastAsia" w:ascii="仿宋" w:hAnsi="仿宋" w:eastAsia="仿宋" w:cs="仿宋_GB2312"/>
          <w:sz w:val="32"/>
          <w:szCs w:val="32"/>
          <w:highlight w:val="none"/>
        </w:rPr>
        <w:t>财政拨款基本支出</w:t>
      </w:r>
      <w:r>
        <w:rPr>
          <w:rFonts w:hint="eastAsia" w:ascii="仿宋" w:hAnsi="仿宋" w:eastAsia="仿宋" w:cs="仿宋_GB2312"/>
          <w:sz w:val="32"/>
          <w:szCs w:val="32"/>
          <w:highlight w:val="none"/>
          <w:lang w:val="en-US" w:eastAsia="zh-CN"/>
        </w:rPr>
        <w:t>800.2</w:t>
      </w:r>
      <w:r>
        <w:rPr>
          <w:rFonts w:hint="eastAsia" w:ascii="仿宋" w:hAnsi="仿宋" w:eastAsia="仿宋" w:cs="仿宋_GB2312"/>
          <w:sz w:val="32"/>
          <w:szCs w:val="32"/>
          <w:highlight w:val="none"/>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（一）人员经费</w:t>
      </w:r>
      <w:r>
        <w:rPr>
          <w:rFonts w:hint="eastAsia" w:ascii="仿宋" w:hAnsi="仿宋" w:eastAsia="仿宋" w:cs="仿宋_GB2312"/>
          <w:sz w:val="32"/>
          <w:szCs w:val="32"/>
          <w:highlight w:val="none"/>
          <w:lang w:val="en-US" w:eastAsia="zh-CN"/>
        </w:rPr>
        <w:t>762.89</w:t>
      </w:r>
      <w:r>
        <w:rPr>
          <w:rFonts w:hint="eastAsia" w:ascii="仿宋" w:hAnsi="仿宋" w:eastAsia="仿宋" w:cs="仿宋_GB2312"/>
          <w:sz w:val="32"/>
          <w:szCs w:val="32"/>
          <w:highlight w:val="none"/>
        </w:rPr>
        <w:t>万元，主要包括：基本工资、津贴补贴、奖金、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p>
    <w:p>
      <w:pPr>
        <w:autoSpaceDE w:val="0"/>
        <w:autoSpaceDN w:val="0"/>
        <w:adjustRightInd w:val="0"/>
        <w:spacing w:line="240" w:lineRule="auto"/>
        <w:ind w:firstLine="640" w:firstLineChars="200"/>
        <w:jc w:val="left"/>
        <w:rPr>
          <w:rFonts w:ascii="仿宋" w:hAnsi="仿宋" w:eastAsia="仿宋" w:cs="仿宋_GB2312"/>
          <w:sz w:val="32"/>
          <w:szCs w:val="32"/>
          <w:highlight w:val="none"/>
        </w:rPr>
      </w:pPr>
      <w:r>
        <w:rPr>
          <w:rFonts w:hint="eastAsia" w:ascii="仿宋" w:hAnsi="仿宋" w:eastAsia="仿宋" w:cs="仿宋_GB2312"/>
          <w:sz w:val="32"/>
          <w:szCs w:val="32"/>
          <w:highlight w:val="none"/>
        </w:rPr>
        <w:t>（二）公用经费</w:t>
      </w:r>
      <w:r>
        <w:rPr>
          <w:rFonts w:hint="eastAsia" w:ascii="仿宋" w:hAnsi="仿宋" w:eastAsia="仿宋" w:cs="仿宋_GB2312"/>
          <w:sz w:val="32"/>
          <w:szCs w:val="32"/>
          <w:highlight w:val="none"/>
          <w:lang w:val="en-US" w:eastAsia="zh-CN"/>
        </w:rPr>
        <w:t>37.31</w:t>
      </w:r>
      <w:r>
        <w:rPr>
          <w:rFonts w:hint="eastAsia" w:ascii="仿宋" w:hAnsi="仿宋" w:eastAsia="仿宋" w:cs="仿宋_GB2312"/>
          <w:sz w:val="32"/>
          <w:szCs w:val="32"/>
          <w:highlight w:val="none"/>
        </w:rPr>
        <w:t>万元，主要包括：办公费、印刷费、咨询费、手续费、水费、电费、邮电费、取暖费、物业管理费、差旅费、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tabs>
          <w:tab w:val="left" w:pos="7513"/>
        </w:tabs>
        <w:adjustRightInd w:val="0"/>
        <w:snapToGrid w:val="0"/>
        <w:spacing w:line="600" w:lineRule="exact"/>
        <w:ind w:firstLine="640" w:firstLineChars="200"/>
        <w:rPr>
          <w:rFonts w:ascii="黑体" w:hAnsi="黑体" w:eastAsia="黑体" w:cs="仿宋_GB2312"/>
          <w:bCs/>
          <w:sz w:val="32"/>
          <w:szCs w:val="32"/>
          <w:highlight w:val="none"/>
        </w:rPr>
      </w:pPr>
      <w:r>
        <w:rPr>
          <w:rFonts w:hint="eastAsia" w:ascii="黑体" w:hAnsi="黑体" w:eastAsia="黑体" w:cs="仿宋_GB2312"/>
          <w:bCs/>
          <w:sz w:val="32"/>
          <w:szCs w:val="32"/>
          <w:highlight w:val="none"/>
        </w:rPr>
        <w:t>六、</w:t>
      </w:r>
      <w:r>
        <w:rPr>
          <w:rFonts w:hint="eastAsia" w:ascii="黑体" w:hAnsi="黑体" w:eastAsia="黑体"/>
          <w:sz w:val="32"/>
          <w:szCs w:val="32"/>
          <w:highlight w:val="none"/>
        </w:rPr>
        <w:t>一般公共预算拨款</w:t>
      </w:r>
      <w:r>
        <w:rPr>
          <w:rFonts w:hint="eastAsia" w:ascii="黑体" w:hAnsi="黑体" w:eastAsia="黑体" w:cs="仿宋_GB2312"/>
          <w:bCs/>
          <w:sz w:val="32"/>
          <w:szCs w:val="32"/>
          <w:highlight w:val="none"/>
        </w:rPr>
        <w:t>“三公”经费支出决算情况说明</w:t>
      </w:r>
    </w:p>
    <w:p>
      <w:pPr>
        <w:tabs>
          <w:tab w:val="left" w:pos="7513"/>
        </w:tabs>
        <w:adjustRightInd w:val="0"/>
        <w:snapToGrid w:val="0"/>
        <w:spacing w:line="600" w:lineRule="exact"/>
        <w:ind w:firstLine="704" w:firstLineChars="220"/>
        <w:rPr>
          <w:rFonts w:ascii="仿宋" w:hAnsi="仿宋" w:eastAsia="仿宋" w:cs="仿宋_GB2312"/>
          <w:sz w:val="32"/>
          <w:szCs w:val="32"/>
          <w:highlight w:val="none"/>
        </w:rPr>
      </w:pPr>
      <w:r>
        <w:rPr>
          <w:rFonts w:hint="eastAsia" w:ascii="仿宋" w:hAnsi="仿宋" w:eastAsia="仿宋" w:cs="仿宋_GB2312"/>
          <w:sz w:val="32"/>
          <w:szCs w:val="32"/>
          <w:highlight w:val="none"/>
        </w:rPr>
        <w:t>2021</w:t>
      </w:r>
      <w:r>
        <w:rPr>
          <w:rFonts w:ascii="仿宋" w:hAnsi="仿宋" w:eastAsia="仿宋" w:cs="仿宋_GB2312"/>
          <w:sz w:val="32"/>
          <w:szCs w:val="32"/>
          <w:highlight w:val="none"/>
        </w:rPr>
        <w:t>年</w:t>
      </w:r>
      <w:r>
        <w:rPr>
          <w:rFonts w:hint="eastAsia" w:ascii="仿宋" w:hAnsi="仿宋" w:eastAsia="仿宋" w:cs="仿宋_GB2312"/>
          <w:sz w:val="32"/>
          <w:szCs w:val="32"/>
          <w:highlight w:val="none"/>
        </w:rPr>
        <w:t>度</w:t>
      </w:r>
      <w:r>
        <w:rPr>
          <w:rFonts w:ascii="仿宋" w:hAnsi="仿宋" w:eastAsia="仿宋" w:cs="仿宋_GB2312"/>
          <w:sz w:val="32"/>
          <w:szCs w:val="32"/>
          <w:highlight w:val="none"/>
        </w:rPr>
        <w:t>“三公”经费</w:t>
      </w:r>
      <w:r>
        <w:rPr>
          <w:rFonts w:hint="eastAsia" w:ascii="仿宋" w:hAnsi="仿宋" w:eastAsia="仿宋" w:cs="仿宋_GB2312"/>
          <w:sz w:val="32"/>
          <w:szCs w:val="32"/>
          <w:highlight w:val="none"/>
        </w:rPr>
        <w:t>财政拨款支出</w:t>
      </w:r>
      <w:r>
        <w:rPr>
          <w:rFonts w:hint="eastAsia" w:ascii="仿宋" w:hAnsi="仿宋" w:eastAsia="仿宋" w:cs="仿宋_GB2312"/>
          <w:sz w:val="32"/>
          <w:szCs w:val="32"/>
          <w:highlight w:val="none"/>
          <w:lang w:val="en-US" w:eastAsia="zh-CN"/>
        </w:rPr>
        <w:t>2.47</w:t>
      </w:r>
      <w:r>
        <w:rPr>
          <w:rFonts w:hint="eastAsia" w:ascii="仿宋" w:hAnsi="仿宋" w:eastAsia="仿宋" w:cs="仿宋_GB2312"/>
          <w:sz w:val="32"/>
          <w:szCs w:val="32"/>
          <w:highlight w:val="none"/>
        </w:rPr>
        <w:t>万元，比本年预算的</w:t>
      </w:r>
      <w:r>
        <w:rPr>
          <w:rFonts w:hint="eastAsia" w:ascii="仿宋" w:hAnsi="仿宋" w:eastAsia="仿宋" w:cs="仿宋_GB2312"/>
          <w:sz w:val="32"/>
          <w:szCs w:val="32"/>
          <w:highlight w:val="none"/>
          <w:lang w:val="en-US" w:eastAsia="zh-CN"/>
        </w:rPr>
        <w:t>4</w:t>
      </w:r>
      <w:r>
        <w:rPr>
          <w:rFonts w:hint="eastAsia" w:ascii="仿宋" w:hAnsi="仿宋" w:eastAsia="仿宋" w:cs="仿宋_GB2312"/>
          <w:sz w:val="32"/>
          <w:szCs w:val="32"/>
          <w:highlight w:val="none"/>
        </w:rPr>
        <w:t>万元下降</w:t>
      </w:r>
      <w:r>
        <w:rPr>
          <w:rFonts w:hint="eastAsia" w:ascii="仿宋" w:hAnsi="仿宋" w:eastAsia="仿宋" w:cs="仿宋_GB2312"/>
          <w:sz w:val="32"/>
          <w:szCs w:val="32"/>
          <w:highlight w:val="none"/>
          <w:lang w:val="en-US" w:eastAsia="zh-CN"/>
        </w:rPr>
        <w:t>38.25</w:t>
      </w:r>
      <w:r>
        <w:rPr>
          <w:rFonts w:ascii="仿宋" w:hAnsi="仿宋" w:eastAsia="仿宋" w:cs="仿宋_GB2312"/>
          <w:sz w:val="32"/>
          <w:szCs w:val="32"/>
          <w:highlight w:val="none"/>
        </w:rPr>
        <w:t>%。</w:t>
      </w:r>
      <w:r>
        <w:rPr>
          <w:rFonts w:hint="eastAsia" w:ascii="仿宋" w:hAnsi="仿宋" w:eastAsia="仿宋" w:cs="仿宋_GB2312"/>
          <w:sz w:val="32"/>
          <w:szCs w:val="32"/>
          <w:highlight w:val="none"/>
        </w:rPr>
        <w:t>主要原因是我校高度重视疫情防控工作，</w:t>
      </w:r>
      <w:r>
        <w:rPr>
          <w:rFonts w:hint="eastAsia" w:ascii="仿宋" w:hAnsi="仿宋" w:eastAsia="仿宋" w:cs="仿宋_GB2312"/>
          <w:sz w:val="32"/>
          <w:szCs w:val="32"/>
          <w:highlight w:val="none"/>
          <w:lang w:val="en-US" w:eastAsia="zh-CN"/>
        </w:rPr>
        <w:t>尽量</w:t>
      </w:r>
      <w:r>
        <w:rPr>
          <w:rFonts w:hint="eastAsia" w:ascii="仿宋" w:hAnsi="仿宋" w:eastAsia="仿宋" w:cs="仿宋_GB2312"/>
          <w:sz w:val="32"/>
          <w:szCs w:val="32"/>
          <w:highlight w:val="none"/>
        </w:rPr>
        <w:t>减少出差和公务接待次数</w:t>
      </w:r>
      <w:r>
        <w:rPr>
          <w:rFonts w:ascii="仿宋" w:hAnsi="仿宋" w:eastAsia="仿宋" w:cs="仿宋_GB2312"/>
          <w:sz w:val="32"/>
          <w:szCs w:val="32"/>
          <w:highlight w:val="none"/>
        </w:rPr>
        <w:t>。具体情况如下：</w:t>
      </w:r>
      <w:r>
        <w:rPr>
          <w:rFonts w:ascii="仿宋" w:hAnsi="仿宋" w:eastAsia="仿宋" w:cs="仿宋_GB2312"/>
          <w:sz w:val="32"/>
          <w:szCs w:val="32"/>
          <w:highlight w:val="none"/>
        </w:rPr>
        <w:br w:type="textWrapping"/>
      </w:r>
      <w:r>
        <w:rPr>
          <w:rFonts w:hint="eastAsia" w:ascii="仿宋" w:hAnsi="仿宋" w:eastAsia="仿宋" w:cs="仿宋_GB2312"/>
          <w:sz w:val="32"/>
          <w:szCs w:val="32"/>
          <w:highlight w:val="none"/>
        </w:rPr>
        <w:t>　　（一）因公出国（境）费支出</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万元，比本年预算的</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万元下降</w:t>
      </w:r>
      <w:r>
        <w:rPr>
          <w:rFonts w:hint="eastAsia" w:ascii="仿宋" w:hAnsi="仿宋" w:eastAsia="仿宋" w:cs="仿宋_GB2312"/>
          <w:sz w:val="32"/>
          <w:szCs w:val="32"/>
          <w:highlight w:val="none"/>
          <w:lang w:val="en-US" w:eastAsia="zh-CN"/>
        </w:rPr>
        <w:t>0</w:t>
      </w:r>
      <w:r>
        <w:rPr>
          <w:rFonts w:ascii="仿宋" w:hAnsi="仿宋" w:eastAsia="仿宋" w:cs="仿宋_GB2312"/>
          <w:sz w:val="32"/>
          <w:szCs w:val="32"/>
          <w:highlight w:val="none"/>
        </w:rPr>
        <w:t>%</w:t>
      </w:r>
      <w:r>
        <w:rPr>
          <w:rFonts w:hint="eastAsia" w:ascii="仿宋" w:hAnsi="仿宋" w:eastAsia="仿宋" w:cs="仿宋_GB2312"/>
          <w:sz w:val="32"/>
          <w:szCs w:val="32"/>
          <w:highlight w:val="none"/>
        </w:rPr>
        <w:t>。全年安排本单位组织的出国团组</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个，参加其他单位出国团组</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个；全年因公出国（境）累计</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人次。</w:t>
      </w:r>
    </w:p>
    <w:p>
      <w:pPr>
        <w:tabs>
          <w:tab w:val="left" w:pos="7513"/>
        </w:tabs>
        <w:adjustRightInd w:val="0"/>
        <w:snapToGrid w:val="0"/>
        <w:spacing w:line="600" w:lineRule="exact"/>
        <w:ind w:firstLine="645"/>
        <w:rPr>
          <w:rFonts w:ascii="仿宋" w:hAnsi="仿宋" w:eastAsia="仿宋" w:cs="仿宋_GB2312"/>
          <w:sz w:val="32"/>
          <w:szCs w:val="32"/>
          <w:highlight w:val="none"/>
        </w:rPr>
      </w:pPr>
      <w:r>
        <w:rPr>
          <w:rFonts w:ascii="仿宋" w:hAnsi="仿宋" w:eastAsia="仿宋" w:cs="仿宋_GB2312"/>
          <w:sz w:val="32"/>
          <w:szCs w:val="32"/>
          <w:highlight w:val="none"/>
        </w:rPr>
        <w:t>（二）公务用车购置及运行费</w:t>
      </w:r>
      <w:r>
        <w:rPr>
          <w:rFonts w:hint="eastAsia" w:ascii="仿宋" w:hAnsi="仿宋" w:eastAsia="仿宋" w:cs="仿宋_GB2312"/>
          <w:sz w:val="32"/>
          <w:szCs w:val="32"/>
          <w:highlight w:val="none"/>
        </w:rPr>
        <w:t>支出</w:t>
      </w:r>
      <w:r>
        <w:rPr>
          <w:rFonts w:hint="eastAsia" w:ascii="仿宋" w:hAnsi="仿宋" w:eastAsia="仿宋" w:cs="仿宋_GB2312"/>
          <w:sz w:val="32"/>
          <w:szCs w:val="32"/>
          <w:highlight w:val="none"/>
          <w:lang w:val="en-US" w:eastAsia="zh-CN"/>
        </w:rPr>
        <w:t>1.61</w:t>
      </w:r>
      <w:r>
        <w:rPr>
          <w:rFonts w:hint="eastAsia" w:ascii="仿宋" w:hAnsi="仿宋" w:eastAsia="仿宋" w:cs="仿宋_GB2312"/>
          <w:sz w:val="32"/>
          <w:szCs w:val="32"/>
          <w:highlight w:val="none"/>
        </w:rPr>
        <w:t>万元，比本年预算的</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万元下降</w:t>
      </w:r>
      <w:r>
        <w:rPr>
          <w:rFonts w:hint="eastAsia" w:ascii="仿宋" w:hAnsi="仿宋" w:eastAsia="仿宋" w:cs="仿宋_GB2312"/>
          <w:sz w:val="32"/>
          <w:szCs w:val="32"/>
          <w:highlight w:val="none"/>
          <w:lang w:val="en-US" w:eastAsia="zh-CN"/>
        </w:rPr>
        <w:t>46.33</w:t>
      </w:r>
      <w:r>
        <w:rPr>
          <w:rFonts w:ascii="仿宋" w:hAnsi="仿宋" w:eastAsia="仿宋" w:cs="仿宋_GB2312"/>
          <w:sz w:val="32"/>
          <w:szCs w:val="32"/>
          <w:highlight w:val="none"/>
        </w:rPr>
        <w:t>%</w:t>
      </w:r>
      <w:r>
        <w:rPr>
          <w:rFonts w:hint="eastAsia" w:ascii="仿宋" w:hAnsi="仿宋" w:eastAsia="仿宋" w:cs="仿宋_GB2312"/>
          <w:sz w:val="32"/>
          <w:szCs w:val="32"/>
          <w:highlight w:val="none"/>
        </w:rPr>
        <w:t>，主要是为防控疫情，我校减少出差，公务用车次数减少。</w:t>
      </w:r>
      <w:r>
        <w:rPr>
          <w:rFonts w:ascii="仿宋" w:hAnsi="仿宋" w:eastAsia="仿宋" w:cs="仿宋_GB2312"/>
          <w:sz w:val="32"/>
          <w:szCs w:val="32"/>
          <w:highlight w:val="none"/>
        </w:rPr>
        <w:t>其中：</w:t>
      </w:r>
    </w:p>
    <w:p>
      <w:pPr>
        <w:tabs>
          <w:tab w:val="left" w:pos="7513"/>
        </w:tabs>
        <w:adjustRightInd w:val="0"/>
        <w:snapToGrid w:val="0"/>
        <w:spacing w:line="600" w:lineRule="exact"/>
        <w:ind w:firstLine="645"/>
        <w:rPr>
          <w:rFonts w:ascii="仿宋" w:hAnsi="仿宋" w:eastAsia="仿宋" w:cs="仿宋_GB2312"/>
          <w:sz w:val="32"/>
          <w:szCs w:val="32"/>
          <w:highlight w:val="none"/>
        </w:rPr>
      </w:pPr>
      <w:r>
        <w:rPr>
          <w:rFonts w:ascii="仿宋" w:hAnsi="仿宋" w:eastAsia="仿宋" w:cs="仿宋_GB2312"/>
          <w:sz w:val="32"/>
          <w:szCs w:val="32"/>
          <w:highlight w:val="none"/>
        </w:rPr>
        <w:t>公务用车购置费</w:t>
      </w:r>
      <w:r>
        <w:rPr>
          <w:rFonts w:hint="eastAsia" w:ascii="仿宋" w:hAnsi="仿宋" w:eastAsia="仿宋" w:cs="仿宋_GB2312"/>
          <w:sz w:val="32"/>
          <w:szCs w:val="32"/>
          <w:highlight w:val="none"/>
        </w:rPr>
        <w:t>支出</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万元，比本年预算的</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万元下降</w:t>
      </w:r>
      <w:r>
        <w:rPr>
          <w:rFonts w:hint="eastAsia" w:ascii="仿宋" w:hAnsi="仿宋" w:eastAsia="仿宋" w:cs="仿宋_GB2312"/>
          <w:sz w:val="32"/>
          <w:szCs w:val="32"/>
          <w:highlight w:val="none"/>
          <w:lang w:val="en-US" w:eastAsia="zh-CN"/>
        </w:rPr>
        <w:t>0</w:t>
      </w:r>
      <w:r>
        <w:rPr>
          <w:rFonts w:ascii="仿宋" w:hAnsi="仿宋" w:eastAsia="仿宋" w:cs="仿宋_GB2312"/>
          <w:sz w:val="32"/>
          <w:szCs w:val="32"/>
          <w:highlight w:val="none"/>
        </w:rPr>
        <w:t>%，</w:t>
      </w:r>
      <w:r>
        <w:rPr>
          <w:rFonts w:hint="eastAsia" w:ascii="仿宋" w:hAnsi="仿宋" w:eastAsia="仿宋" w:cs="仿宋_GB2312"/>
          <w:sz w:val="32"/>
          <w:szCs w:val="32"/>
          <w:highlight w:val="none"/>
        </w:rPr>
        <w:t>2021</w:t>
      </w:r>
      <w:r>
        <w:rPr>
          <w:rFonts w:ascii="仿宋" w:hAnsi="仿宋" w:eastAsia="仿宋" w:cs="仿宋_GB2312"/>
          <w:sz w:val="32"/>
          <w:szCs w:val="32"/>
          <w:highlight w:val="none"/>
        </w:rPr>
        <w:t>年公务用车购置</w:t>
      </w:r>
      <w:r>
        <w:rPr>
          <w:rFonts w:hint="eastAsia" w:ascii="仿宋" w:hAnsi="仿宋" w:eastAsia="仿宋" w:cs="仿宋_GB2312"/>
          <w:sz w:val="32"/>
          <w:szCs w:val="32"/>
          <w:highlight w:val="none"/>
          <w:lang w:val="en-US" w:eastAsia="zh-CN"/>
        </w:rPr>
        <w:t>0</w:t>
      </w:r>
      <w:r>
        <w:rPr>
          <w:rFonts w:hint="eastAsia" w:ascii="仿宋" w:hAnsi="仿宋" w:eastAsia="仿宋" w:cs="仿宋_GB2312"/>
          <w:sz w:val="32"/>
          <w:szCs w:val="32"/>
          <w:highlight w:val="none"/>
        </w:rPr>
        <w:t>辆</w:t>
      </w:r>
      <w:r>
        <w:rPr>
          <w:rFonts w:ascii="仿宋" w:hAnsi="仿宋" w:eastAsia="仿宋" w:cs="仿宋_GB2312"/>
          <w:sz w:val="32"/>
          <w:szCs w:val="32"/>
          <w:highlight w:val="none"/>
        </w:rPr>
        <w:t>。</w:t>
      </w:r>
    </w:p>
    <w:p>
      <w:pPr>
        <w:tabs>
          <w:tab w:val="left" w:pos="7513"/>
        </w:tabs>
        <w:adjustRightInd w:val="0"/>
        <w:snapToGrid w:val="0"/>
        <w:spacing w:line="600" w:lineRule="exact"/>
        <w:ind w:firstLine="645"/>
        <w:rPr>
          <w:rFonts w:ascii="仿宋" w:hAnsi="仿宋" w:eastAsia="仿宋" w:cs="仿宋_GB2312"/>
          <w:sz w:val="32"/>
          <w:szCs w:val="32"/>
          <w:highlight w:val="none"/>
        </w:rPr>
      </w:pPr>
      <w:r>
        <w:rPr>
          <w:rFonts w:hint="eastAsia" w:ascii="仿宋" w:hAnsi="仿宋" w:eastAsia="仿宋" w:cs="仿宋_GB2312"/>
          <w:sz w:val="32"/>
          <w:szCs w:val="32"/>
          <w:highlight w:val="none"/>
        </w:rPr>
        <w:t>公务用车运行费支出</w:t>
      </w:r>
      <w:r>
        <w:rPr>
          <w:rFonts w:hint="eastAsia" w:ascii="仿宋" w:hAnsi="仿宋" w:eastAsia="仿宋" w:cs="仿宋_GB2312"/>
          <w:sz w:val="32"/>
          <w:szCs w:val="32"/>
          <w:highlight w:val="none"/>
          <w:lang w:val="en-US" w:eastAsia="zh-CN"/>
        </w:rPr>
        <w:t>1.61</w:t>
      </w:r>
      <w:r>
        <w:rPr>
          <w:rFonts w:hint="eastAsia" w:ascii="仿宋" w:hAnsi="仿宋" w:eastAsia="仿宋" w:cs="仿宋_GB2312"/>
          <w:sz w:val="32"/>
          <w:szCs w:val="32"/>
          <w:highlight w:val="none"/>
        </w:rPr>
        <w:t>万元，比本年预算的</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万元下降</w:t>
      </w:r>
      <w:r>
        <w:rPr>
          <w:rFonts w:hint="eastAsia" w:ascii="仿宋" w:hAnsi="仿宋" w:eastAsia="仿宋" w:cs="仿宋_GB2312"/>
          <w:sz w:val="32"/>
          <w:szCs w:val="32"/>
          <w:highlight w:val="none"/>
          <w:lang w:val="en-US" w:eastAsia="zh-CN"/>
        </w:rPr>
        <w:t>46.33</w:t>
      </w:r>
      <w:r>
        <w:rPr>
          <w:rFonts w:ascii="仿宋" w:hAnsi="仿宋" w:eastAsia="仿宋" w:cs="仿宋_GB2312"/>
          <w:sz w:val="32"/>
          <w:szCs w:val="32"/>
          <w:highlight w:val="none"/>
        </w:rPr>
        <w:t>%</w:t>
      </w:r>
      <w:r>
        <w:rPr>
          <w:rFonts w:hint="eastAsia" w:ascii="仿宋" w:hAnsi="仿宋" w:eastAsia="仿宋" w:cs="仿宋_GB2312"/>
          <w:sz w:val="32"/>
          <w:szCs w:val="32"/>
          <w:highlight w:val="none"/>
        </w:rPr>
        <w:t>，主要是为防控疫情，我校减少出差，公务用车次数减少。截至</w:t>
      </w:r>
      <w:r>
        <w:rPr>
          <w:rFonts w:ascii="仿宋" w:hAnsi="仿宋" w:eastAsia="仿宋" w:cs="仿宋_GB2312"/>
          <w:sz w:val="32"/>
          <w:szCs w:val="32"/>
          <w:highlight w:val="none"/>
        </w:rPr>
        <w:t>2021</w:t>
      </w:r>
      <w:r>
        <w:rPr>
          <w:rFonts w:hint="eastAsia" w:ascii="仿宋" w:hAnsi="仿宋" w:eastAsia="仿宋" w:cs="仿宋_GB2312"/>
          <w:sz w:val="32"/>
          <w:szCs w:val="32"/>
          <w:highlight w:val="none"/>
        </w:rPr>
        <w:t>年</w:t>
      </w:r>
      <w:r>
        <w:rPr>
          <w:rFonts w:ascii="仿宋" w:hAnsi="仿宋" w:eastAsia="仿宋" w:cs="仿宋_GB2312"/>
          <w:sz w:val="32"/>
          <w:szCs w:val="32"/>
          <w:highlight w:val="none"/>
        </w:rPr>
        <w:t>12</w:t>
      </w:r>
      <w:r>
        <w:rPr>
          <w:rFonts w:hint="eastAsia" w:ascii="仿宋" w:hAnsi="仿宋" w:eastAsia="仿宋" w:cs="仿宋_GB2312"/>
          <w:sz w:val="32"/>
          <w:szCs w:val="32"/>
          <w:highlight w:val="none"/>
        </w:rPr>
        <w:t>月</w:t>
      </w:r>
      <w:r>
        <w:rPr>
          <w:rFonts w:ascii="仿宋" w:hAnsi="仿宋" w:eastAsia="仿宋" w:cs="仿宋_GB2312"/>
          <w:sz w:val="32"/>
          <w:szCs w:val="32"/>
          <w:highlight w:val="none"/>
        </w:rPr>
        <w:t>31</w:t>
      </w:r>
      <w:r>
        <w:rPr>
          <w:rFonts w:hint="eastAsia" w:ascii="仿宋" w:hAnsi="仿宋" w:eastAsia="仿宋" w:cs="仿宋_GB2312"/>
          <w:sz w:val="32"/>
          <w:szCs w:val="32"/>
          <w:highlight w:val="none"/>
        </w:rPr>
        <w:t>日，本单位公务用车保有量为</w:t>
      </w:r>
      <w:r>
        <w:rPr>
          <w:rFonts w:hint="eastAsia" w:ascii="仿宋" w:hAnsi="仿宋" w:eastAsia="仿宋" w:cs="仿宋_GB2312"/>
          <w:sz w:val="32"/>
          <w:szCs w:val="32"/>
          <w:highlight w:val="none"/>
          <w:lang w:val="en-US" w:eastAsia="zh-CN"/>
        </w:rPr>
        <w:t>1</w:t>
      </w:r>
      <w:r>
        <w:rPr>
          <w:rFonts w:hint="eastAsia" w:ascii="仿宋" w:hAnsi="仿宋" w:eastAsia="仿宋" w:cs="仿宋_GB2312"/>
          <w:sz w:val="32"/>
          <w:szCs w:val="32"/>
          <w:highlight w:val="none"/>
        </w:rPr>
        <w:t>辆</w:t>
      </w:r>
      <w:r>
        <w:rPr>
          <w:rFonts w:ascii="仿宋" w:hAnsi="仿宋" w:eastAsia="仿宋" w:cs="仿宋_GB2312"/>
          <w:sz w:val="32"/>
          <w:szCs w:val="32"/>
          <w:highlight w:val="none"/>
        </w:rPr>
        <w:t>。</w:t>
      </w:r>
    </w:p>
    <w:p>
      <w:pPr>
        <w:tabs>
          <w:tab w:val="left" w:pos="7513"/>
        </w:tabs>
        <w:adjustRightInd w:val="0"/>
        <w:snapToGrid w:val="0"/>
        <w:spacing w:line="600" w:lineRule="exact"/>
        <w:rPr>
          <w:rFonts w:ascii="仿宋" w:hAnsi="仿宋" w:eastAsia="仿宋" w:cs="仿宋_GB2312"/>
          <w:sz w:val="32"/>
          <w:szCs w:val="32"/>
          <w:highlight w:val="none"/>
        </w:rPr>
      </w:pPr>
      <w:r>
        <w:rPr>
          <w:rFonts w:hint="eastAsia" w:ascii="仿宋" w:hAnsi="仿宋" w:eastAsia="仿宋" w:cs="仿宋_GB2312"/>
          <w:sz w:val="32"/>
          <w:szCs w:val="32"/>
          <w:highlight w:val="none"/>
        </w:rPr>
        <w:t>　　（三）公务接待费支出</w:t>
      </w:r>
      <w:r>
        <w:rPr>
          <w:rFonts w:hint="eastAsia" w:ascii="仿宋" w:hAnsi="仿宋" w:eastAsia="仿宋" w:cs="仿宋_GB2312"/>
          <w:sz w:val="32"/>
          <w:szCs w:val="32"/>
          <w:highlight w:val="none"/>
          <w:lang w:val="en-US" w:eastAsia="zh-CN"/>
        </w:rPr>
        <w:t>0.86</w:t>
      </w:r>
      <w:r>
        <w:rPr>
          <w:rFonts w:hint="eastAsia" w:ascii="仿宋" w:hAnsi="仿宋" w:eastAsia="仿宋" w:cs="仿宋_GB2312"/>
          <w:sz w:val="32"/>
          <w:szCs w:val="32"/>
          <w:highlight w:val="none"/>
        </w:rPr>
        <w:t>万元，比本年预算的</w:t>
      </w:r>
      <w:r>
        <w:rPr>
          <w:rFonts w:hint="eastAsia" w:ascii="仿宋" w:hAnsi="仿宋" w:eastAsia="仿宋" w:cs="仿宋_GB2312"/>
          <w:sz w:val="32"/>
          <w:szCs w:val="32"/>
          <w:highlight w:val="none"/>
          <w:lang w:val="en-US" w:eastAsia="zh-CN"/>
        </w:rPr>
        <w:t>1</w:t>
      </w:r>
      <w:r>
        <w:rPr>
          <w:rFonts w:hint="eastAsia" w:ascii="仿宋" w:hAnsi="仿宋" w:eastAsia="仿宋" w:cs="仿宋_GB2312"/>
          <w:sz w:val="32"/>
          <w:szCs w:val="32"/>
          <w:highlight w:val="none"/>
        </w:rPr>
        <w:t>万元下降</w:t>
      </w:r>
      <w:r>
        <w:rPr>
          <w:rFonts w:hint="eastAsia" w:ascii="仿宋" w:hAnsi="仿宋" w:eastAsia="仿宋" w:cs="仿宋_GB2312"/>
          <w:sz w:val="32"/>
          <w:szCs w:val="32"/>
          <w:highlight w:val="none"/>
          <w:lang w:val="en-US" w:eastAsia="zh-CN"/>
        </w:rPr>
        <w:t>14</w:t>
      </w:r>
      <w:r>
        <w:rPr>
          <w:rFonts w:ascii="仿宋" w:hAnsi="仿宋" w:eastAsia="仿宋" w:cs="仿宋_GB2312"/>
          <w:sz w:val="32"/>
          <w:szCs w:val="32"/>
          <w:highlight w:val="none"/>
        </w:rPr>
        <w:t>%</w:t>
      </w:r>
      <w:r>
        <w:rPr>
          <w:rFonts w:hint="eastAsia" w:ascii="仿宋" w:hAnsi="仿宋" w:eastAsia="仿宋" w:cs="仿宋_GB2312"/>
          <w:sz w:val="32"/>
          <w:szCs w:val="32"/>
          <w:highlight w:val="none"/>
        </w:rPr>
        <w:t>。主要是疫情防控期间，减少公务接待情况，累计接待</w:t>
      </w:r>
      <w:r>
        <w:rPr>
          <w:rFonts w:hint="eastAsia" w:ascii="仿宋" w:hAnsi="仿宋" w:eastAsia="仿宋" w:cs="仿宋_GB2312"/>
          <w:sz w:val="32"/>
          <w:szCs w:val="32"/>
          <w:highlight w:val="none"/>
          <w:lang w:val="en-US" w:eastAsia="zh-CN"/>
        </w:rPr>
        <w:t>11</w:t>
      </w:r>
      <w:r>
        <w:rPr>
          <w:rFonts w:hint="eastAsia" w:ascii="仿宋" w:hAnsi="仿宋" w:eastAsia="仿宋" w:cs="仿宋_GB2312"/>
          <w:sz w:val="32"/>
          <w:szCs w:val="32"/>
          <w:highlight w:val="none"/>
        </w:rPr>
        <w:t>批次、</w:t>
      </w:r>
      <w:r>
        <w:rPr>
          <w:rFonts w:hint="eastAsia" w:ascii="仿宋" w:hAnsi="仿宋" w:eastAsia="仿宋" w:cs="仿宋_GB2312"/>
          <w:sz w:val="32"/>
          <w:szCs w:val="32"/>
          <w:highlight w:val="none"/>
          <w:lang w:val="en-US" w:eastAsia="zh-CN"/>
        </w:rPr>
        <w:t>75</w:t>
      </w:r>
      <w:r>
        <w:rPr>
          <w:rFonts w:hint="eastAsia" w:ascii="仿宋" w:hAnsi="仿宋" w:eastAsia="仿宋" w:cs="仿宋_GB2312"/>
          <w:sz w:val="32"/>
          <w:szCs w:val="32"/>
          <w:highlight w:val="none"/>
        </w:rPr>
        <w:t>人次。</w:t>
      </w:r>
    </w:p>
    <w:p>
      <w:pPr>
        <w:tabs>
          <w:tab w:val="left" w:pos="7513"/>
        </w:tabs>
        <w:adjustRightInd w:val="0"/>
        <w:snapToGrid w:val="0"/>
        <w:spacing w:line="60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七、预算绩效情况说明</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根据预算绩效管理要求，本单位组织对2021年度</w:t>
      </w: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个项目实施单位自评，分别是学校教学管理经费、特教学校免</w:t>
      </w:r>
    </w:p>
    <w:p>
      <w:pPr>
        <w:rPr>
          <w:rFonts w:hint="eastAsia" w:ascii="仿宋" w:hAnsi="仿宋" w:eastAsia="仿宋"/>
          <w:sz w:val="32"/>
          <w:szCs w:val="32"/>
          <w:highlight w:val="none"/>
        </w:rPr>
      </w:pPr>
      <w:r>
        <w:rPr>
          <w:rFonts w:hint="eastAsia" w:ascii="仿宋" w:hAnsi="仿宋" w:eastAsia="仿宋"/>
          <w:sz w:val="32"/>
          <w:szCs w:val="32"/>
          <w:highlight w:val="none"/>
        </w:rPr>
        <w:t>杂费市级配套资金、提前下达 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年特教学校“两免一补”补助资金、教育质量提升项目资金、美育专项资金、校园安</w:t>
      </w:r>
    </w:p>
    <w:p>
      <w:pPr>
        <w:rPr>
          <w:rFonts w:ascii="仿宋" w:hAnsi="仿宋" w:eastAsia="仿宋"/>
          <w:sz w:val="32"/>
          <w:szCs w:val="32"/>
          <w:highlight w:val="none"/>
        </w:rPr>
      </w:pPr>
      <w:r>
        <w:rPr>
          <w:rFonts w:hint="eastAsia" w:ascii="仿宋" w:hAnsi="仿宋" w:eastAsia="仿宋"/>
          <w:sz w:val="32"/>
          <w:szCs w:val="32"/>
          <w:highlight w:val="none"/>
        </w:rPr>
        <w:t>全专项资金项目，涉及财政拨款资金共计</w:t>
      </w:r>
      <w:r>
        <w:rPr>
          <w:rFonts w:hint="eastAsia" w:ascii="仿宋" w:hAnsi="仿宋" w:eastAsia="仿宋"/>
          <w:sz w:val="32"/>
          <w:szCs w:val="32"/>
          <w:highlight w:val="none"/>
          <w:lang w:val="en-US" w:eastAsia="zh-CN"/>
        </w:rPr>
        <w:t>184.18</w:t>
      </w:r>
      <w:r>
        <w:rPr>
          <w:rFonts w:hint="eastAsia" w:ascii="仿宋" w:hAnsi="仿宋" w:eastAsia="仿宋"/>
          <w:sz w:val="32"/>
          <w:szCs w:val="32"/>
          <w:highlight w:val="none"/>
        </w:rPr>
        <w:t>万元。（《项目支出绩效自评表》详见附件</w:t>
      </w:r>
      <w:r>
        <w:rPr>
          <w:rFonts w:hint="eastAsia" w:ascii="仿宋" w:hAnsi="仿宋" w:eastAsia="仿宋"/>
          <w:sz w:val="32"/>
          <w:szCs w:val="32"/>
          <w:highlight w:val="none"/>
          <w:lang w:val="en-US" w:eastAsia="zh-CN"/>
        </w:rPr>
        <w:t>一</w:t>
      </w:r>
      <w:r>
        <w:rPr>
          <w:rFonts w:hint="eastAsia" w:ascii="仿宋" w:hAnsi="仿宋" w:eastAsia="仿宋"/>
          <w:sz w:val="32"/>
          <w:szCs w:val="32"/>
          <w:highlight w:val="none"/>
        </w:rPr>
        <w:t>）</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对 6 个项目实施部门评价，分别是学校教学管理经费、</w:t>
      </w:r>
    </w:p>
    <w:p>
      <w:pPr>
        <w:rPr>
          <w:rFonts w:hint="eastAsia" w:ascii="仿宋" w:hAnsi="仿宋" w:eastAsia="仿宋"/>
          <w:sz w:val="32"/>
          <w:szCs w:val="32"/>
          <w:highlight w:val="none"/>
        </w:rPr>
      </w:pPr>
      <w:r>
        <w:rPr>
          <w:rFonts w:hint="eastAsia" w:ascii="仿宋" w:hAnsi="仿宋" w:eastAsia="仿宋"/>
          <w:sz w:val="32"/>
          <w:szCs w:val="32"/>
          <w:highlight w:val="none"/>
        </w:rPr>
        <w:t>特教学校免杂费市级配套资金、提前下达 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年特教学校</w:t>
      </w:r>
    </w:p>
    <w:p>
      <w:pPr>
        <w:rPr>
          <w:rFonts w:hint="eastAsia" w:ascii="仿宋" w:hAnsi="仿宋" w:eastAsia="仿宋"/>
          <w:sz w:val="32"/>
          <w:szCs w:val="32"/>
          <w:highlight w:val="none"/>
        </w:rPr>
      </w:pPr>
      <w:r>
        <w:rPr>
          <w:rFonts w:hint="eastAsia" w:ascii="仿宋" w:hAnsi="仿宋" w:eastAsia="仿宋"/>
          <w:sz w:val="32"/>
          <w:szCs w:val="32"/>
          <w:highlight w:val="none"/>
        </w:rPr>
        <w:t>“两免一补”补助资金、教育质量提升项目资金、美育专项</w:t>
      </w:r>
    </w:p>
    <w:p>
      <w:pPr>
        <w:rPr>
          <w:rFonts w:hint="default" w:ascii="仿宋" w:hAnsi="仿宋" w:eastAsia="仿宋"/>
          <w:sz w:val="32"/>
          <w:szCs w:val="32"/>
          <w:highlight w:val="none"/>
          <w:lang w:val="en-US" w:eastAsia="zh-CN"/>
        </w:rPr>
      </w:pPr>
      <w:r>
        <w:rPr>
          <w:rFonts w:hint="eastAsia" w:ascii="仿宋" w:hAnsi="仿宋" w:eastAsia="仿宋"/>
          <w:sz w:val="32"/>
          <w:szCs w:val="32"/>
          <w:highlight w:val="none"/>
        </w:rPr>
        <w:t xml:space="preserve">资金、校园安全专项资金，涉及财政拨款资金共计 </w:t>
      </w:r>
      <w:r>
        <w:rPr>
          <w:rFonts w:hint="eastAsia" w:ascii="仿宋" w:hAnsi="仿宋" w:eastAsia="仿宋"/>
          <w:sz w:val="32"/>
          <w:szCs w:val="32"/>
          <w:highlight w:val="none"/>
          <w:lang w:val="en-US" w:eastAsia="zh-CN"/>
        </w:rPr>
        <w:t>184.18</w:t>
      </w:r>
    </w:p>
    <w:p>
      <w:pPr>
        <w:rPr>
          <w:rFonts w:hint="eastAsia" w:ascii="仿宋" w:hAnsi="仿宋" w:eastAsia="仿宋"/>
          <w:sz w:val="32"/>
          <w:szCs w:val="32"/>
          <w:highlight w:val="none"/>
        </w:rPr>
      </w:pPr>
      <w:r>
        <w:rPr>
          <w:rFonts w:hint="eastAsia" w:ascii="仿宋" w:hAnsi="仿宋" w:eastAsia="仿宋"/>
          <w:sz w:val="32"/>
          <w:szCs w:val="32"/>
          <w:highlight w:val="none"/>
        </w:rPr>
        <w:t>万元。评价结果等次为“优”“良”“中”“差”的项目分别</w:t>
      </w:r>
    </w:p>
    <w:p>
      <w:pPr>
        <w:rPr>
          <w:rFonts w:hint="eastAsia" w:ascii="仿宋" w:hAnsi="仿宋" w:eastAsia="仿宋"/>
          <w:sz w:val="32"/>
          <w:szCs w:val="32"/>
          <w:highlight w:val="none"/>
        </w:rPr>
      </w:pPr>
      <w:r>
        <w:rPr>
          <w:rFonts w:hint="eastAsia" w:ascii="仿宋" w:hAnsi="仿宋" w:eastAsia="仿宋"/>
          <w:sz w:val="32"/>
          <w:szCs w:val="32"/>
          <w:highlight w:val="none"/>
        </w:rPr>
        <w:t>是 0 个、</w:t>
      </w: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 xml:space="preserve"> 个、</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 xml:space="preserve"> 个、0 个。（《项目支出绩效评价报告》详见附件二）</w:t>
      </w:r>
    </w:p>
    <w:p>
      <w:pPr>
        <w:tabs>
          <w:tab w:val="left" w:pos="7513"/>
        </w:tabs>
        <w:adjustRightInd w:val="0"/>
        <w:snapToGrid w:val="0"/>
        <w:spacing w:line="60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八、其他重要事项说明</w:t>
      </w:r>
    </w:p>
    <w:p>
      <w:pPr>
        <w:tabs>
          <w:tab w:val="left" w:pos="7513"/>
        </w:tabs>
        <w:adjustRightInd w:val="0"/>
        <w:snapToGrid w:val="0"/>
        <w:spacing w:line="600" w:lineRule="exact"/>
        <w:ind w:firstLine="643" w:firstLineChars="200"/>
        <w:rPr>
          <w:rFonts w:ascii="黑体" w:hAnsi="黑体" w:eastAsia="黑体" w:cs="仿宋_GB2312"/>
          <w:bCs/>
          <w:sz w:val="32"/>
          <w:szCs w:val="32"/>
          <w:highlight w:val="none"/>
        </w:rPr>
      </w:pPr>
      <w:r>
        <w:rPr>
          <w:rFonts w:hint="eastAsia" w:ascii="楷体" w:hAnsi="楷体" w:eastAsia="楷体"/>
          <w:b/>
          <w:sz w:val="32"/>
          <w:szCs w:val="32"/>
          <w:highlight w:val="none"/>
        </w:rPr>
        <w:t>（一）机关运行经费</w:t>
      </w:r>
    </w:p>
    <w:p>
      <w:pPr>
        <w:tabs>
          <w:tab w:val="left" w:pos="7513"/>
        </w:tabs>
        <w:adjustRightInd w:val="0"/>
        <w:snapToGrid w:val="0"/>
        <w:spacing w:line="600" w:lineRule="exact"/>
        <w:ind w:firstLine="640" w:firstLineChars="200"/>
        <w:rPr>
          <w:rFonts w:ascii="仿宋" w:hAnsi="仿宋" w:eastAsia="仿宋" w:cs="仿宋_GB2312"/>
          <w:sz w:val="32"/>
          <w:szCs w:val="32"/>
          <w:highlight w:val="none"/>
        </w:rPr>
      </w:pPr>
      <w:r>
        <w:rPr>
          <w:rFonts w:hint="eastAsia" w:ascii="楷体" w:hAnsi="楷体" w:eastAsia="楷体" w:cs="仿宋_GB2312"/>
          <w:sz w:val="32"/>
          <w:szCs w:val="32"/>
          <w:highlight w:val="none"/>
        </w:rPr>
        <w:t>本单位为事业单位没有机关运行经费。</w:t>
      </w:r>
    </w:p>
    <w:p>
      <w:pPr>
        <w:autoSpaceDE w:val="0"/>
        <w:autoSpaceDN w:val="0"/>
        <w:adjustRightInd w:val="0"/>
        <w:spacing w:line="600" w:lineRule="exact"/>
        <w:ind w:firstLine="643" w:firstLineChars="200"/>
        <w:jc w:val="left"/>
        <w:rPr>
          <w:rFonts w:ascii="黑体" w:hAnsi="黑体" w:eastAsia="黑体" w:cs="仿宋_GB2312"/>
          <w:kern w:val="0"/>
          <w:sz w:val="32"/>
          <w:szCs w:val="32"/>
          <w:highlight w:val="none"/>
        </w:rPr>
      </w:pPr>
      <w:r>
        <w:rPr>
          <w:rFonts w:hint="eastAsia" w:ascii="楷体" w:hAnsi="楷体" w:eastAsia="楷体"/>
          <w:b/>
          <w:sz w:val="32"/>
          <w:szCs w:val="32"/>
          <w:highlight w:val="none"/>
        </w:rPr>
        <w:t>（二）政府采购情况</w:t>
      </w:r>
    </w:p>
    <w:p>
      <w:pPr>
        <w:tabs>
          <w:tab w:val="left" w:pos="7513"/>
        </w:tabs>
        <w:adjustRightInd w:val="0"/>
        <w:snapToGrid w:val="0"/>
        <w:spacing w:line="600" w:lineRule="exact"/>
        <w:ind w:firstLine="640" w:firstLineChars="200"/>
        <w:rPr>
          <w:rFonts w:ascii="仿宋" w:hAnsi="仿宋" w:eastAsia="仿宋" w:cs="仿宋_GB2312"/>
          <w:sz w:val="32"/>
          <w:szCs w:val="32"/>
          <w:highlight w:val="none"/>
        </w:rPr>
      </w:pPr>
      <w:r>
        <w:rPr>
          <w:rFonts w:hint="eastAsia" w:ascii="仿宋" w:hAnsi="仿宋" w:eastAsia="仿宋" w:cs="仿宋_GB2312"/>
          <w:sz w:val="32"/>
          <w:szCs w:val="32"/>
          <w:highlight w:val="none"/>
        </w:rPr>
        <w:t>本单位2021年度</w:t>
      </w:r>
      <w:r>
        <w:rPr>
          <w:rFonts w:ascii="仿宋" w:hAnsi="仿宋" w:eastAsia="仿宋" w:cs="仿宋_GB2312"/>
          <w:sz w:val="32"/>
          <w:szCs w:val="32"/>
          <w:highlight w:val="none"/>
        </w:rPr>
        <w:t>政府采购支出总额</w:t>
      </w:r>
      <w:r>
        <w:rPr>
          <w:rFonts w:hint="eastAsia" w:ascii="仿宋" w:hAnsi="仿宋" w:eastAsia="仿宋" w:cs="仿宋_GB2312"/>
          <w:sz w:val="32"/>
          <w:szCs w:val="32"/>
          <w:highlight w:val="none"/>
          <w:lang w:val="en-US" w:eastAsia="zh-CN"/>
        </w:rPr>
        <w:t>4.77</w:t>
      </w:r>
      <w:r>
        <w:rPr>
          <w:rFonts w:hint="eastAsia" w:ascii="仿宋" w:hAnsi="仿宋" w:eastAsia="仿宋" w:cs="仿宋_GB2312"/>
          <w:sz w:val="32"/>
          <w:szCs w:val="32"/>
          <w:highlight w:val="none"/>
        </w:rPr>
        <w:t>万元，其中：政府采购货物支出</w:t>
      </w:r>
      <w:r>
        <w:rPr>
          <w:rFonts w:hint="eastAsia" w:ascii="仿宋" w:hAnsi="仿宋" w:eastAsia="仿宋" w:cs="仿宋_GB2312"/>
          <w:sz w:val="32"/>
          <w:szCs w:val="32"/>
          <w:highlight w:val="none"/>
          <w:lang w:val="en-US" w:eastAsia="zh-CN"/>
        </w:rPr>
        <w:t>4.77</w:t>
      </w:r>
      <w:r>
        <w:rPr>
          <w:rFonts w:hint="eastAsia" w:ascii="仿宋" w:hAnsi="仿宋" w:eastAsia="仿宋" w:cs="仿宋_GB2312"/>
          <w:sz w:val="32"/>
          <w:szCs w:val="32"/>
          <w:highlight w:val="none"/>
        </w:rPr>
        <w:t>万元、政府采购工程支出0万元、政府采购服务支出0万元。授予中小企业合同金额0万元，占政府采购支出总额的0%，其中：授予小微企业合同金额0万元，占政府采购支出总额的0%。</w:t>
      </w:r>
    </w:p>
    <w:p>
      <w:pPr>
        <w:tabs>
          <w:tab w:val="left" w:pos="7513"/>
        </w:tabs>
        <w:adjustRightInd w:val="0"/>
        <w:snapToGrid w:val="0"/>
        <w:spacing w:line="600" w:lineRule="exact"/>
        <w:ind w:firstLine="707" w:firstLineChars="220"/>
        <w:rPr>
          <w:rFonts w:ascii="黑体" w:hAnsi="黑体" w:eastAsia="黑体" w:cs="Times New Roman"/>
          <w:sz w:val="32"/>
          <w:szCs w:val="32"/>
          <w:highlight w:val="none"/>
        </w:rPr>
      </w:pPr>
      <w:r>
        <w:rPr>
          <w:rFonts w:hint="eastAsia" w:ascii="楷体" w:hAnsi="楷体" w:eastAsia="楷体"/>
          <w:b/>
          <w:sz w:val="32"/>
          <w:szCs w:val="32"/>
          <w:highlight w:val="none"/>
        </w:rPr>
        <w:t>（三）国有资产占用使用情况</w:t>
      </w:r>
    </w:p>
    <w:p>
      <w:pPr>
        <w:tabs>
          <w:tab w:val="left" w:pos="7513"/>
        </w:tabs>
        <w:adjustRightInd w:val="0"/>
        <w:snapToGrid w:val="0"/>
        <w:spacing w:line="600" w:lineRule="exact"/>
        <w:ind w:firstLine="704" w:firstLineChars="220"/>
        <w:rPr>
          <w:rFonts w:hint="eastAsia" w:ascii="仿宋" w:hAnsi="仿宋" w:eastAsia="仿宋" w:cs="仿宋_GB2312"/>
          <w:kern w:val="0"/>
          <w:sz w:val="32"/>
          <w:szCs w:val="32"/>
          <w:highlight w:val="none"/>
        </w:rPr>
      </w:pPr>
      <w:r>
        <w:rPr>
          <w:rFonts w:hint="eastAsia" w:ascii="仿宋" w:hAnsi="仿宋" w:eastAsia="仿宋" w:cs="仿宋_GB2312"/>
          <w:kern w:val="0"/>
          <w:sz w:val="32"/>
          <w:szCs w:val="32"/>
          <w:highlight w:val="none"/>
        </w:rPr>
        <w:t>截至</w:t>
      </w:r>
      <w:r>
        <w:rPr>
          <w:rFonts w:hint="eastAsia" w:ascii="仿宋" w:hAnsi="仿宋" w:eastAsia="仿宋"/>
          <w:sz w:val="32"/>
          <w:szCs w:val="32"/>
          <w:highlight w:val="none"/>
        </w:rPr>
        <w:t>2021</w:t>
      </w:r>
      <w:r>
        <w:rPr>
          <w:rFonts w:hint="eastAsia" w:ascii="仿宋" w:hAnsi="仿宋" w:eastAsia="仿宋" w:cs="仿宋_GB2312"/>
          <w:kern w:val="0"/>
          <w:sz w:val="32"/>
          <w:szCs w:val="32"/>
          <w:highlight w:val="none"/>
        </w:rPr>
        <w:t>年</w:t>
      </w:r>
      <w:r>
        <w:rPr>
          <w:rFonts w:ascii="仿宋" w:hAnsi="仿宋" w:eastAsia="仿宋" w:cs="仿宋_GB2312"/>
          <w:kern w:val="0"/>
          <w:sz w:val="32"/>
          <w:szCs w:val="32"/>
          <w:highlight w:val="none"/>
        </w:rPr>
        <w:t>12月31日，</w:t>
      </w:r>
      <w:r>
        <w:rPr>
          <w:rFonts w:hint="eastAsia" w:ascii="仿宋" w:hAnsi="仿宋" w:eastAsia="仿宋" w:cs="仿宋_GB2312"/>
          <w:kern w:val="0"/>
          <w:sz w:val="32"/>
          <w:szCs w:val="32"/>
          <w:highlight w:val="none"/>
        </w:rPr>
        <w:t>本部门共有车辆 1 辆，其中：</w:t>
      </w:r>
    </w:p>
    <w:p>
      <w:pPr>
        <w:tabs>
          <w:tab w:val="left" w:pos="7513"/>
        </w:tabs>
        <w:adjustRightInd w:val="0"/>
        <w:snapToGrid w:val="0"/>
        <w:spacing w:line="600" w:lineRule="exact"/>
        <w:rPr>
          <w:rFonts w:hint="eastAsia" w:ascii="仿宋" w:hAnsi="仿宋" w:eastAsia="仿宋" w:cs="仿宋_GB2312"/>
          <w:kern w:val="0"/>
          <w:sz w:val="32"/>
          <w:szCs w:val="32"/>
          <w:highlight w:val="none"/>
        </w:rPr>
      </w:pPr>
      <w:r>
        <w:rPr>
          <w:rFonts w:hint="eastAsia" w:ascii="仿宋" w:hAnsi="仿宋" w:eastAsia="仿宋" w:cs="仿宋_GB2312"/>
          <w:kern w:val="0"/>
          <w:sz w:val="32"/>
          <w:szCs w:val="32"/>
          <w:highlight w:val="none"/>
        </w:rPr>
        <w:t>副部（省）级以上领导用车 0 辆、主要领导干部用车 0 辆、</w:t>
      </w:r>
    </w:p>
    <w:p>
      <w:pPr>
        <w:tabs>
          <w:tab w:val="left" w:pos="7513"/>
        </w:tabs>
        <w:adjustRightInd w:val="0"/>
        <w:snapToGrid w:val="0"/>
        <w:spacing w:line="600" w:lineRule="exact"/>
        <w:rPr>
          <w:rFonts w:ascii="仿宋" w:hAnsi="仿宋" w:eastAsia="仿宋" w:cs="仿宋_GB2312"/>
          <w:kern w:val="0"/>
          <w:sz w:val="32"/>
          <w:szCs w:val="32"/>
          <w:highlight w:val="none"/>
        </w:rPr>
      </w:pPr>
      <w:r>
        <w:rPr>
          <w:rFonts w:hint="eastAsia" w:ascii="仿宋" w:hAnsi="仿宋" w:eastAsia="仿宋" w:cs="仿宋_GB2312"/>
          <w:kern w:val="0"/>
          <w:sz w:val="32"/>
          <w:szCs w:val="32"/>
          <w:highlight w:val="none"/>
        </w:rPr>
        <w:t>机要通信用车 0 辆、应急保障用车 0 辆、执法执勤用车 0 辆、特种专业技术用车 0 辆、离退休干部用车 0 辆、其他用车 1辆；单价 50 万元（含）以上通用设备 0 台（套），单价 100万元（含）以上专用设备 0 台（套）。</w:t>
      </w:r>
    </w:p>
    <w:p>
      <w:pPr>
        <w:autoSpaceDE w:val="0"/>
        <w:autoSpaceDN w:val="0"/>
        <w:adjustRightInd w:val="0"/>
        <w:spacing w:line="600" w:lineRule="exact"/>
        <w:ind w:firstLine="640" w:firstLineChars="200"/>
        <w:jc w:val="left"/>
        <w:rPr>
          <w:rFonts w:ascii="仿宋" w:hAnsi="仿宋" w:eastAsia="仿宋" w:cs="仿宋_GB2312"/>
          <w:sz w:val="32"/>
          <w:szCs w:val="32"/>
          <w:highlight w:val="none"/>
        </w:rPr>
      </w:pPr>
    </w:p>
    <w:p>
      <w:pPr>
        <w:autoSpaceDE w:val="0"/>
        <w:autoSpaceDN w:val="0"/>
        <w:adjustRightInd w:val="0"/>
        <w:spacing w:line="600" w:lineRule="exact"/>
        <w:ind w:firstLine="720" w:firstLineChars="200"/>
        <w:jc w:val="center"/>
        <w:rPr>
          <w:rFonts w:ascii="仿宋" w:hAnsi="仿宋" w:eastAsia="仿宋"/>
          <w:b/>
          <w:sz w:val="32"/>
          <w:szCs w:val="32"/>
          <w:highlight w:val="none"/>
        </w:rPr>
      </w:pPr>
      <w:r>
        <w:rPr>
          <w:rFonts w:hint="eastAsia" w:ascii="黑体" w:hAnsi="黑体" w:eastAsia="黑体"/>
          <w:sz w:val="36"/>
          <w:szCs w:val="36"/>
          <w:highlight w:val="none"/>
        </w:rPr>
        <w:t>第四部分 名词解释</w:t>
      </w:r>
    </w:p>
    <w:p>
      <w:pPr>
        <w:autoSpaceDE w:val="0"/>
        <w:autoSpaceDN w:val="0"/>
        <w:adjustRightInd w:val="0"/>
        <w:spacing w:line="600" w:lineRule="exact"/>
        <w:ind w:firstLine="640" w:firstLineChars="200"/>
        <w:jc w:val="left"/>
        <w:rPr>
          <w:rFonts w:ascii="仿宋" w:hAnsi="仿宋" w:eastAsia="仿宋" w:cs="仿宋_GB2312"/>
          <w:kern w:val="0"/>
          <w:sz w:val="32"/>
          <w:szCs w:val="32"/>
          <w:highlight w:val="none"/>
        </w:rPr>
      </w:pPr>
    </w:p>
    <w:p>
      <w:pPr>
        <w:spacing w:line="600" w:lineRule="exact"/>
        <w:ind w:firstLine="710" w:firstLineChars="221"/>
        <w:rPr>
          <w:rFonts w:ascii="仿宋" w:hAnsi="仿宋" w:eastAsia="仿宋" w:cs="仿宋"/>
          <w:color w:val="000000"/>
          <w:kern w:val="0"/>
          <w:sz w:val="32"/>
          <w:szCs w:val="32"/>
          <w:highlight w:val="none"/>
        </w:rPr>
      </w:pPr>
      <w:r>
        <w:rPr>
          <w:rFonts w:hint="eastAsia" w:ascii="仿宋" w:hAnsi="仿宋" w:eastAsia="仿宋" w:cs="仿宋"/>
          <w:b/>
          <w:color w:val="000000"/>
          <w:kern w:val="0"/>
          <w:sz w:val="32"/>
          <w:szCs w:val="32"/>
          <w:highlight w:val="none"/>
        </w:rPr>
        <w:t>一、一般公共预算财政拨款收入：</w:t>
      </w:r>
      <w:r>
        <w:rPr>
          <w:rFonts w:hint="eastAsia" w:ascii="仿宋" w:hAnsi="仿宋" w:eastAsia="仿宋" w:cs="仿宋"/>
          <w:color w:val="000000"/>
          <w:kern w:val="0"/>
          <w:sz w:val="32"/>
          <w:szCs w:val="32"/>
          <w:highlight w:val="none"/>
        </w:rPr>
        <w:t xml:space="preserve">指本级财政当年拨付的资金。 </w:t>
      </w:r>
    </w:p>
    <w:p>
      <w:pPr>
        <w:spacing w:line="600" w:lineRule="exact"/>
        <w:ind w:firstLine="710" w:firstLineChars="221"/>
        <w:rPr>
          <w:rFonts w:ascii="仿宋" w:hAnsi="仿宋" w:eastAsia="仿宋" w:cs="仿宋"/>
          <w:color w:val="000000"/>
          <w:kern w:val="0"/>
          <w:sz w:val="32"/>
          <w:szCs w:val="32"/>
          <w:highlight w:val="none"/>
        </w:rPr>
      </w:pPr>
      <w:r>
        <w:rPr>
          <w:rFonts w:hint="eastAsia" w:ascii="仿宋" w:hAnsi="仿宋" w:eastAsia="仿宋" w:cs="仿宋"/>
          <w:b/>
          <w:color w:val="000000"/>
          <w:kern w:val="0"/>
          <w:sz w:val="32"/>
          <w:szCs w:val="32"/>
          <w:highlight w:val="none"/>
        </w:rPr>
        <w:t>二、事业收入：</w:t>
      </w:r>
      <w:r>
        <w:rPr>
          <w:rFonts w:hint="eastAsia" w:ascii="仿宋" w:hAnsi="仿宋" w:eastAsia="仿宋" w:cs="仿宋"/>
          <w:color w:val="000000"/>
          <w:kern w:val="0"/>
          <w:sz w:val="32"/>
          <w:szCs w:val="32"/>
          <w:highlight w:val="none"/>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highlight w:val="none"/>
        </w:rPr>
      </w:pPr>
      <w:r>
        <w:rPr>
          <w:rFonts w:hint="eastAsia" w:ascii="仿宋" w:hAnsi="仿宋" w:eastAsia="仿宋" w:cs="仿宋"/>
          <w:b/>
          <w:color w:val="000000"/>
          <w:kern w:val="0"/>
          <w:sz w:val="32"/>
          <w:szCs w:val="32"/>
          <w:highlight w:val="none"/>
        </w:rPr>
        <w:t>三、经营收入：</w:t>
      </w:r>
      <w:r>
        <w:rPr>
          <w:rFonts w:hint="eastAsia" w:ascii="仿宋" w:hAnsi="仿宋" w:eastAsia="仿宋" w:cs="仿宋"/>
          <w:color w:val="000000"/>
          <w:kern w:val="0"/>
          <w:sz w:val="32"/>
          <w:szCs w:val="32"/>
          <w:highlight w:val="none"/>
        </w:rPr>
        <w:t xml:space="preserve">指事业单位在专业业务活动及其辅助活动之外开展非独立核算经营活动取得的收入。 </w:t>
      </w:r>
    </w:p>
    <w:p>
      <w:pPr>
        <w:spacing w:line="600" w:lineRule="exact"/>
        <w:ind w:firstLine="710" w:firstLineChars="221"/>
        <w:rPr>
          <w:rFonts w:ascii="仿宋" w:hAnsi="仿宋" w:eastAsia="仿宋" w:cs="仿宋"/>
          <w:color w:val="000000"/>
          <w:kern w:val="0"/>
          <w:sz w:val="32"/>
          <w:szCs w:val="32"/>
          <w:highlight w:val="none"/>
        </w:rPr>
      </w:pPr>
      <w:r>
        <w:rPr>
          <w:rFonts w:hint="eastAsia" w:ascii="仿宋" w:hAnsi="仿宋" w:eastAsia="仿宋" w:cs="仿宋"/>
          <w:b/>
          <w:color w:val="000000"/>
          <w:kern w:val="0"/>
          <w:sz w:val="32"/>
          <w:szCs w:val="32"/>
          <w:highlight w:val="none"/>
        </w:rPr>
        <w:t>四、其他收入：</w:t>
      </w:r>
      <w:r>
        <w:rPr>
          <w:rFonts w:hint="eastAsia" w:ascii="仿宋" w:hAnsi="仿宋" w:eastAsia="仿宋" w:cs="仿宋"/>
          <w:color w:val="000000"/>
          <w:kern w:val="0"/>
          <w:sz w:val="32"/>
          <w:szCs w:val="32"/>
          <w:highlight w:val="none"/>
        </w:rPr>
        <w:t>指除上述</w:t>
      </w:r>
      <w:r>
        <w:rPr>
          <w:rFonts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rPr>
        <w:t>财政拨款收入</w:t>
      </w:r>
      <w:r>
        <w:rPr>
          <w:rFonts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rPr>
        <w:t>、</w:t>
      </w:r>
      <w:r>
        <w:rPr>
          <w:rFonts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rPr>
        <w:t>事业收入</w:t>
      </w:r>
      <w:r>
        <w:rPr>
          <w:rFonts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rPr>
        <w:t>、</w:t>
      </w:r>
      <w:r>
        <w:rPr>
          <w:rFonts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rPr>
        <w:t>经营收入</w:t>
      </w:r>
      <w:r>
        <w:rPr>
          <w:rFonts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rPr>
        <w:t xml:space="preserve">等以外的收入。主要是事业单位固定资产出租收入、存款利息收入等。 </w:t>
      </w:r>
    </w:p>
    <w:p>
      <w:pPr>
        <w:spacing w:line="600" w:lineRule="exact"/>
        <w:ind w:firstLine="710" w:firstLineChars="221"/>
        <w:rPr>
          <w:rFonts w:ascii="仿宋" w:hAnsi="仿宋" w:eastAsia="仿宋" w:cs="仿宋"/>
          <w:color w:val="000000"/>
          <w:kern w:val="0"/>
          <w:sz w:val="32"/>
          <w:szCs w:val="32"/>
          <w:highlight w:val="none"/>
        </w:rPr>
      </w:pPr>
      <w:r>
        <w:rPr>
          <w:rFonts w:hint="eastAsia" w:ascii="仿宋" w:hAnsi="仿宋" w:eastAsia="仿宋" w:cs="仿宋"/>
          <w:b/>
          <w:color w:val="000000"/>
          <w:kern w:val="0"/>
          <w:sz w:val="32"/>
          <w:szCs w:val="32"/>
          <w:highlight w:val="none"/>
        </w:rPr>
        <w:t>五、使用非财政拨款结余：</w:t>
      </w:r>
      <w:r>
        <w:rPr>
          <w:rFonts w:hint="eastAsia" w:ascii="仿宋" w:hAnsi="仿宋" w:eastAsia="仿宋" w:cs="仿宋"/>
          <w:color w:val="000000"/>
          <w:kern w:val="0"/>
          <w:sz w:val="32"/>
          <w:szCs w:val="32"/>
          <w:highlight w:val="none"/>
        </w:rPr>
        <w:t xml:space="preserve">指事业单位使用以前年度积累的非财政拨款结余弥补当年收支差额的金额。 </w:t>
      </w:r>
    </w:p>
    <w:p>
      <w:pPr>
        <w:spacing w:line="600" w:lineRule="exact"/>
        <w:ind w:firstLine="710" w:firstLineChars="221"/>
        <w:rPr>
          <w:rFonts w:ascii="仿宋" w:hAnsi="仿宋" w:eastAsia="仿宋" w:cs="仿宋"/>
          <w:color w:val="000000"/>
          <w:kern w:val="0"/>
          <w:sz w:val="32"/>
          <w:szCs w:val="32"/>
          <w:highlight w:val="none"/>
        </w:rPr>
      </w:pPr>
      <w:r>
        <w:rPr>
          <w:rFonts w:hint="eastAsia" w:ascii="仿宋" w:hAnsi="仿宋" w:eastAsia="仿宋" w:cs="仿宋"/>
          <w:b/>
          <w:color w:val="000000"/>
          <w:kern w:val="0"/>
          <w:sz w:val="32"/>
          <w:szCs w:val="32"/>
          <w:highlight w:val="none"/>
        </w:rPr>
        <w:t>六、年初结转和结余：</w:t>
      </w:r>
      <w:r>
        <w:rPr>
          <w:rFonts w:hint="eastAsia" w:ascii="仿宋" w:hAnsi="仿宋" w:eastAsia="仿宋" w:cs="仿宋"/>
          <w:color w:val="000000"/>
          <w:kern w:val="0"/>
          <w:sz w:val="32"/>
          <w:szCs w:val="32"/>
          <w:highlight w:val="none"/>
        </w:rPr>
        <w:t>指单位以前年度尚未完成、结转到本年仍按原规定用途继续使用的资金，或项目已完成等产生的结余资金。</w:t>
      </w:r>
    </w:p>
    <w:p>
      <w:pPr>
        <w:pStyle w:val="7"/>
        <w:spacing w:line="600" w:lineRule="exact"/>
        <w:ind w:firstLine="640"/>
        <w:rPr>
          <w:rFonts w:ascii="仿宋" w:hAnsi="仿宋" w:eastAsia="仿宋" w:cs="仿宋"/>
          <w:sz w:val="32"/>
          <w:szCs w:val="32"/>
          <w:highlight w:val="none"/>
        </w:rPr>
      </w:pPr>
      <w:r>
        <w:rPr>
          <w:rFonts w:hint="eastAsia" w:ascii="仿宋" w:hAnsi="仿宋" w:eastAsia="仿宋" w:cs="仿宋"/>
          <w:b/>
          <w:sz w:val="32"/>
          <w:szCs w:val="32"/>
          <w:highlight w:val="none"/>
        </w:rPr>
        <w:t>七、结余分配：</w:t>
      </w:r>
      <w:r>
        <w:rPr>
          <w:rFonts w:hint="eastAsia" w:ascii="仿宋" w:hAnsi="仿宋" w:eastAsia="仿宋" w:cs="仿宋"/>
          <w:sz w:val="32"/>
          <w:szCs w:val="32"/>
          <w:highlight w:val="none"/>
        </w:rPr>
        <w:t xml:space="preserve">指事业单位按照会计制度规定缴纳的所得税、提取的专用结余以及转入非财政拨款结余的金额等。 </w:t>
      </w:r>
    </w:p>
    <w:p>
      <w:pPr>
        <w:pStyle w:val="7"/>
        <w:spacing w:line="600" w:lineRule="exact"/>
        <w:ind w:firstLine="640"/>
        <w:rPr>
          <w:rFonts w:ascii="仿宋" w:hAnsi="仿宋" w:eastAsia="仿宋" w:cs="仿宋"/>
          <w:sz w:val="32"/>
          <w:szCs w:val="32"/>
          <w:highlight w:val="none"/>
        </w:rPr>
      </w:pPr>
      <w:r>
        <w:rPr>
          <w:rFonts w:hint="eastAsia" w:ascii="仿宋" w:hAnsi="仿宋" w:eastAsia="仿宋" w:cs="仿宋"/>
          <w:b/>
          <w:sz w:val="32"/>
          <w:szCs w:val="32"/>
          <w:highlight w:val="none"/>
        </w:rPr>
        <w:t>八、年末结转和结余：</w:t>
      </w:r>
      <w:r>
        <w:rPr>
          <w:rFonts w:hint="eastAsia" w:ascii="仿宋" w:hAnsi="仿宋" w:eastAsia="仿宋" w:cs="仿宋"/>
          <w:sz w:val="32"/>
          <w:szCs w:val="32"/>
          <w:highlight w:val="none"/>
        </w:rPr>
        <w:t xml:space="preserve">指单位按有关规定结转到下年或以后年度继续使用的资金，或项目已完成等产生的结余资金。 </w:t>
      </w:r>
    </w:p>
    <w:p>
      <w:pPr>
        <w:pStyle w:val="7"/>
        <w:spacing w:line="600" w:lineRule="exact"/>
        <w:ind w:firstLine="640"/>
        <w:rPr>
          <w:rFonts w:ascii="仿宋" w:hAnsi="仿宋" w:eastAsia="仿宋" w:cs="仿宋"/>
          <w:sz w:val="32"/>
          <w:szCs w:val="32"/>
          <w:highlight w:val="none"/>
        </w:rPr>
      </w:pPr>
      <w:r>
        <w:rPr>
          <w:rFonts w:hint="eastAsia" w:ascii="仿宋" w:hAnsi="仿宋" w:eastAsia="仿宋" w:cs="仿宋"/>
          <w:b/>
          <w:sz w:val="32"/>
          <w:szCs w:val="32"/>
          <w:highlight w:val="none"/>
        </w:rPr>
        <w:t>九、基本支出：</w:t>
      </w:r>
      <w:r>
        <w:rPr>
          <w:rFonts w:hint="eastAsia" w:ascii="仿宋" w:hAnsi="仿宋" w:eastAsia="仿宋" w:cs="仿宋"/>
          <w:sz w:val="32"/>
          <w:szCs w:val="32"/>
          <w:highlight w:val="none"/>
        </w:rPr>
        <w:t xml:space="preserve">指为保障机构正常运转、完成日常工作任务而发生的人员支出和公用支出。 </w:t>
      </w:r>
    </w:p>
    <w:p>
      <w:pPr>
        <w:pStyle w:val="7"/>
        <w:spacing w:line="600" w:lineRule="exact"/>
        <w:ind w:firstLine="640"/>
        <w:rPr>
          <w:rFonts w:ascii="仿宋" w:hAnsi="仿宋" w:eastAsia="仿宋" w:cs="仿宋"/>
          <w:sz w:val="32"/>
          <w:szCs w:val="32"/>
          <w:highlight w:val="none"/>
        </w:rPr>
      </w:pPr>
      <w:r>
        <w:rPr>
          <w:rFonts w:hint="eastAsia" w:ascii="仿宋" w:hAnsi="仿宋" w:eastAsia="仿宋" w:cs="仿宋"/>
          <w:b/>
          <w:sz w:val="32"/>
          <w:szCs w:val="32"/>
          <w:highlight w:val="none"/>
        </w:rPr>
        <w:t>十、项目支出：</w:t>
      </w:r>
      <w:r>
        <w:rPr>
          <w:rFonts w:hint="eastAsia" w:ascii="仿宋" w:hAnsi="仿宋" w:eastAsia="仿宋" w:cs="仿宋"/>
          <w:sz w:val="32"/>
          <w:szCs w:val="32"/>
          <w:highlight w:val="none"/>
        </w:rPr>
        <w:t xml:space="preserve">指在基本支出之外为完成特定行政任务和事业发展目标所发生的支出。 </w:t>
      </w:r>
    </w:p>
    <w:p>
      <w:pPr>
        <w:pStyle w:val="7"/>
        <w:spacing w:line="600" w:lineRule="exact"/>
        <w:ind w:firstLine="640"/>
        <w:rPr>
          <w:rFonts w:ascii="仿宋" w:hAnsi="仿宋" w:eastAsia="仿宋" w:cs="仿宋"/>
          <w:sz w:val="32"/>
          <w:szCs w:val="32"/>
          <w:highlight w:val="none"/>
        </w:rPr>
      </w:pPr>
      <w:r>
        <w:rPr>
          <w:rFonts w:hint="eastAsia" w:ascii="仿宋" w:hAnsi="仿宋" w:eastAsia="仿宋" w:cs="仿宋"/>
          <w:b/>
          <w:sz w:val="32"/>
          <w:szCs w:val="32"/>
          <w:highlight w:val="none"/>
        </w:rPr>
        <w:t>十一、经营支出：</w:t>
      </w:r>
      <w:r>
        <w:rPr>
          <w:rFonts w:hint="eastAsia" w:ascii="仿宋" w:hAnsi="仿宋" w:eastAsia="仿宋" w:cs="仿宋"/>
          <w:sz w:val="32"/>
          <w:szCs w:val="32"/>
          <w:highlight w:val="none"/>
        </w:rPr>
        <w:t xml:space="preserve">指事业单位在专业业务活动及其辅助活动之外开展非独立核算经营活动发生的支出。 </w:t>
      </w:r>
    </w:p>
    <w:p>
      <w:pPr>
        <w:pStyle w:val="7"/>
        <w:spacing w:line="600" w:lineRule="exact"/>
        <w:ind w:firstLine="640"/>
        <w:rPr>
          <w:rFonts w:ascii="仿宋" w:hAnsi="仿宋" w:eastAsia="仿宋" w:cs="仿宋"/>
          <w:sz w:val="32"/>
          <w:szCs w:val="32"/>
          <w:highlight w:val="none"/>
        </w:rPr>
      </w:pPr>
      <w:r>
        <w:rPr>
          <w:rFonts w:hint="eastAsia" w:ascii="仿宋" w:hAnsi="仿宋" w:eastAsia="仿宋" w:cs="仿宋"/>
          <w:b/>
          <w:sz w:val="32"/>
          <w:szCs w:val="32"/>
          <w:highlight w:val="none"/>
        </w:rPr>
        <w:t>十二、</w:t>
      </w:r>
      <w:r>
        <w:rPr>
          <w:rFonts w:ascii="仿宋" w:hAnsi="仿宋" w:eastAsia="仿宋" w:cs="仿宋"/>
          <w:b/>
          <w:sz w:val="32"/>
          <w:szCs w:val="32"/>
          <w:highlight w:val="none"/>
        </w:rPr>
        <w:t>“</w:t>
      </w:r>
      <w:r>
        <w:rPr>
          <w:rFonts w:hint="eastAsia" w:ascii="仿宋" w:hAnsi="仿宋" w:eastAsia="仿宋" w:cs="仿宋"/>
          <w:b/>
          <w:sz w:val="32"/>
          <w:szCs w:val="32"/>
          <w:highlight w:val="none"/>
        </w:rPr>
        <w:t>三公</w:t>
      </w:r>
      <w:r>
        <w:rPr>
          <w:rFonts w:ascii="仿宋" w:hAnsi="仿宋" w:eastAsia="仿宋" w:cs="仿宋"/>
          <w:b/>
          <w:sz w:val="32"/>
          <w:szCs w:val="32"/>
          <w:highlight w:val="none"/>
        </w:rPr>
        <w:t>”</w:t>
      </w:r>
      <w:r>
        <w:rPr>
          <w:rFonts w:hint="eastAsia" w:ascii="仿宋" w:hAnsi="仿宋" w:eastAsia="仿宋" w:cs="仿宋"/>
          <w:b/>
          <w:sz w:val="32"/>
          <w:szCs w:val="32"/>
          <w:highlight w:val="none"/>
        </w:rPr>
        <w:t>经费：</w:t>
      </w:r>
      <w:r>
        <w:rPr>
          <w:rFonts w:hint="eastAsia" w:ascii="仿宋" w:hAnsi="仿宋" w:eastAsia="仿宋" w:cs="仿宋"/>
          <w:sz w:val="32"/>
          <w:szCs w:val="32"/>
          <w:highlight w:val="none"/>
        </w:rPr>
        <w:t>纳入省级财政预决算管理的</w:t>
      </w:r>
      <w:r>
        <w:rPr>
          <w:rFonts w:ascii="仿宋" w:hAnsi="仿宋" w:eastAsia="仿宋" w:cs="仿宋"/>
          <w:sz w:val="32"/>
          <w:szCs w:val="32"/>
          <w:highlight w:val="none"/>
        </w:rPr>
        <w:t>“</w:t>
      </w:r>
      <w:r>
        <w:rPr>
          <w:rFonts w:hint="eastAsia" w:ascii="仿宋" w:hAnsi="仿宋" w:eastAsia="仿宋" w:cs="仿宋"/>
          <w:sz w:val="32"/>
          <w:szCs w:val="32"/>
          <w:highlight w:val="none"/>
        </w:rPr>
        <w:t>三公</w:t>
      </w:r>
      <w:r>
        <w:rPr>
          <w:rFonts w:ascii="仿宋" w:hAnsi="仿宋" w:eastAsia="仿宋" w:cs="仿宋"/>
          <w:sz w:val="32"/>
          <w:szCs w:val="32"/>
          <w:highlight w:val="none"/>
        </w:rPr>
        <w:t>”</w:t>
      </w:r>
      <w:r>
        <w:rPr>
          <w:rFonts w:hint="eastAsia" w:ascii="仿宋" w:hAnsi="仿宋" w:eastAsia="仿宋" w:cs="仿宋"/>
          <w:sz w:val="32"/>
          <w:szCs w:val="32"/>
          <w:highlight w:val="none"/>
        </w:rPr>
        <w:t xml:space="preserve">经费，是指省级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firstLineChars="200"/>
        <w:jc w:val="left"/>
        <w:rPr>
          <w:rFonts w:ascii="仿宋" w:hAnsi="仿宋" w:eastAsia="仿宋"/>
          <w:sz w:val="32"/>
          <w:szCs w:val="32"/>
          <w:highlight w:val="none"/>
        </w:rPr>
      </w:pPr>
      <w:r>
        <w:rPr>
          <w:rFonts w:hint="eastAsia" w:ascii="仿宋" w:hAnsi="仿宋" w:eastAsia="仿宋" w:cs="仿宋"/>
          <w:b/>
          <w:color w:val="000000"/>
          <w:kern w:val="0"/>
          <w:sz w:val="32"/>
          <w:szCs w:val="32"/>
          <w:highlight w:val="none"/>
        </w:rPr>
        <w:t>十三、机关运行经费：</w:t>
      </w:r>
      <w:r>
        <w:rPr>
          <w:rFonts w:hint="eastAsia" w:ascii="仿宋" w:hAnsi="仿宋" w:eastAsia="仿宋" w:cs="仿宋"/>
          <w:color w:val="000000"/>
          <w:kern w:val="0"/>
          <w:sz w:val="32"/>
          <w:szCs w:val="32"/>
          <w:highlight w:val="none"/>
        </w:rPr>
        <w:t>为保障行政单位（含参照公务员法管理的事业单位）运行用于购买货物和服务的各项资金，包括办公及印刷费、邮电费、差旅费、会议</w:t>
      </w:r>
      <w:r>
        <w:rPr>
          <w:rFonts w:hint="eastAsia" w:ascii="仿宋" w:hAnsi="仿宋" w:eastAsia="仿宋"/>
          <w:sz w:val="32"/>
          <w:szCs w:val="32"/>
          <w:highlight w:val="none"/>
        </w:rPr>
        <w:t>费、福利费、日常维修费、专用材料及一般设备购置费、办公用房水电费、办公用房取暖费、办公用房物业管理费、公务用车运行维护费以及其他费用。</w:t>
      </w:r>
    </w:p>
    <w:p>
      <w:pPr>
        <w:ind w:firstLine="640" w:firstLineChars="200"/>
        <w:jc w:val="left"/>
        <w:rPr>
          <w:rFonts w:ascii="仿宋" w:hAnsi="仿宋" w:eastAsia="仿宋"/>
          <w:sz w:val="32"/>
          <w:szCs w:val="32"/>
          <w:highlight w:val="none"/>
        </w:rPr>
      </w:pPr>
    </w:p>
    <w:p>
      <w:pPr>
        <w:ind w:firstLine="640" w:firstLineChars="200"/>
        <w:jc w:val="left"/>
        <w:rPr>
          <w:rFonts w:ascii="仿宋" w:hAnsi="仿宋" w:eastAsia="仿宋"/>
          <w:sz w:val="32"/>
          <w:szCs w:val="32"/>
          <w:highlight w:val="none"/>
        </w:rPr>
      </w:pPr>
    </w:p>
    <w:p>
      <w:pPr>
        <w:autoSpaceDE w:val="0"/>
        <w:autoSpaceDN w:val="0"/>
        <w:adjustRightInd w:val="0"/>
        <w:spacing w:line="600" w:lineRule="exact"/>
        <w:ind w:firstLine="720" w:firstLineChars="200"/>
        <w:jc w:val="center"/>
        <w:rPr>
          <w:rFonts w:ascii="仿宋" w:hAnsi="仿宋" w:eastAsia="仿宋"/>
          <w:b/>
          <w:sz w:val="32"/>
          <w:szCs w:val="32"/>
          <w:highlight w:val="none"/>
        </w:rPr>
      </w:pPr>
      <w:r>
        <w:rPr>
          <w:rFonts w:hint="eastAsia" w:ascii="黑体" w:hAnsi="黑体" w:eastAsia="黑体"/>
          <w:sz w:val="36"/>
          <w:szCs w:val="36"/>
          <w:highlight w:val="none"/>
        </w:rPr>
        <w:t>第五部分 附件</w:t>
      </w:r>
    </w:p>
    <w:p>
      <w:pPr>
        <w:tabs>
          <w:tab w:val="left" w:pos="7513"/>
        </w:tabs>
        <w:adjustRightInd w:val="0"/>
        <w:snapToGrid w:val="0"/>
        <w:spacing w:line="600" w:lineRule="exact"/>
        <w:rPr>
          <w:rFonts w:ascii="仿宋" w:hAnsi="仿宋" w:eastAsia="仿宋"/>
          <w:color w:val="FF0000"/>
          <w:sz w:val="32"/>
          <w:szCs w:val="32"/>
        </w:rPr>
      </w:pPr>
    </w:p>
    <w:p>
      <w:pPr>
        <w:jc w:val="left"/>
        <w:rPr>
          <w:rFonts w:hint="eastAsia" w:ascii="仿宋" w:hAnsi="仿宋" w:eastAsia="仿宋"/>
          <w:color w:val="000000" w:themeColor="text1"/>
          <w:sz w:val="32"/>
          <w:szCs w:val="32"/>
        </w:rPr>
      </w:pPr>
      <w:r>
        <w:rPr>
          <w:rFonts w:hint="eastAsia" w:ascii="仿宋" w:hAnsi="仿宋" w:eastAsia="仿宋"/>
          <w:color w:val="000000" w:themeColor="text1"/>
          <w:sz w:val="32"/>
          <w:szCs w:val="32"/>
        </w:rPr>
        <w:t>一、《项目支出绩效自评表》</w:t>
      </w:r>
    </w:p>
    <w:p>
      <w:pPr>
        <w:jc w:val="left"/>
        <w:rPr>
          <w:rFonts w:ascii="仿宋" w:hAnsi="仿宋" w:eastAsia="仿宋"/>
          <w:sz w:val="32"/>
          <w:szCs w:val="32"/>
        </w:rPr>
      </w:pPr>
      <w:r>
        <w:rPr>
          <w:rFonts w:hint="eastAsia" w:ascii="仿宋" w:hAnsi="仿宋" w:eastAsia="仿宋"/>
          <w:color w:val="000000" w:themeColor="text1"/>
          <w:sz w:val="32"/>
          <w:szCs w:val="32"/>
        </w:rPr>
        <w:t>二、《项目支出绩效自评报告》</w:t>
      </w:r>
    </w:p>
    <w:sectPr>
      <w:footerReference r:id="rId5" w:type="default"/>
      <w:pgSz w:w="11906" w:h="16838"/>
      <w:pgMar w:top="1702" w:right="1800" w:bottom="1843"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黑体.....">
    <w:altName w:val="黑体"/>
    <w:panose1 w:val="00000000000000000000"/>
    <w:charset w:val="86"/>
    <w:family w:val="swiss"/>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4404197"/>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F56BA8"/>
    <w:multiLevelType w:val="multilevel"/>
    <w:tmpl w:val="6BF56BA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MTMxYTFjN2ZjNzVmZWRjMDM2ZTdlZjUyMDJhMGYifQ=="/>
  </w:docVars>
  <w:rsids>
    <w:rsidRoot w:val="00B409A9"/>
    <w:rsid w:val="00004305"/>
    <w:rsid w:val="0002351C"/>
    <w:rsid w:val="00051C06"/>
    <w:rsid w:val="0007452D"/>
    <w:rsid w:val="00086558"/>
    <w:rsid w:val="000E0654"/>
    <w:rsid w:val="000F1138"/>
    <w:rsid w:val="0010732F"/>
    <w:rsid w:val="00120154"/>
    <w:rsid w:val="001270F2"/>
    <w:rsid w:val="0012746F"/>
    <w:rsid w:val="0014407E"/>
    <w:rsid w:val="00145556"/>
    <w:rsid w:val="00145E5D"/>
    <w:rsid w:val="001618A9"/>
    <w:rsid w:val="00167580"/>
    <w:rsid w:val="001731FE"/>
    <w:rsid w:val="001902C5"/>
    <w:rsid w:val="00192491"/>
    <w:rsid w:val="00193F98"/>
    <w:rsid w:val="001A0FC3"/>
    <w:rsid w:val="001C0FCB"/>
    <w:rsid w:val="001C2C68"/>
    <w:rsid w:val="001E09A7"/>
    <w:rsid w:val="001E1870"/>
    <w:rsid w:val="00211534"/>
    <w:rsid w:val="00215A7F"/>
    <w:rsid w:val="002323DC"/>
    <w:rsid w:val="0023447B"/>
    <w:rsid w:val="00243516"/>
    <w:rsid w:val="0027318D"/>
    <w:rsid w:val="00273D47"/>
    <w:rsid w:val="002C6AB2"/>
    <w:rsid w:val="00306AAB"/>
    <w:rsid w:val="00340EF1"/>
    <w:rsid w:val="00377FF0"/>
    <w:rsid w:val="003903CB"/>
    <w:rsid w:val="003B0AB0"/>
    <w:rsid w:val="003B74A4"/>
    <w:rsid w:val="003C28CE"/>
    <w:rsid w:val="003C6215"/>
    <w:rsid w:val="003D6C67"/>
    <w:rsid w:val="003F76FA"/>
    <w:rsid w:val="004055E6"/>
    <w:rsid w:val="004109D8"/>
    <w:rsid w:val="00410CA2"/>
    <w:rsid w:val="00413168"/>
    <w:rsid w:val="004C7FDB"/>
    <w:rsid w:val="004F1429"/>
    <w:rsid w:val="004F1FFD"/>
    <w:rsid w:val="004F60FA"/>
    <w:rsid w:val="005004C8"/>
    <w:rsid w:val="00503B71"/>
    <w:rsid w:val="00507F16"/>
    <w:rsid w:val="005103AE"/>
    <w:rsid w:val="00522E0E"/>
    <w:rsid w:val="00540990"/>
    <w:rsid w:val="00551698"/>
    <w:rsid w:val="005636F9"/>
    <w:rsid w:val="005C4F6D"/>
    <w:rsid w:val="005C7CE0"/>
    <w:rsid w:val="005D70CB"/>
    <w:rsid w:val="006344C4"/>
    <w:rsid w:val="0064397E"/>
    <w:rsid w:val="00644184"/>
    <w:rsid w:val="006A3BD6"/>
    <w:rsid w:val="006D6AF4"/>
    <w:rsid w:val="006E094F"/>
    <w:rsid w:val="007310D0"/>
    <w:rsid w:val="00734771"/>
    <w:rsid w:val="00776C80"/>
    <w:rsid w:val="007A599F"/>
    <w:rsid w:val="007A7448"/>
    <w:rsid w:val="007A776B"/>
    <w:rsid w:val="007B05ED"/>
    <w:rsid w:val="007B0B86"/>
    <w:rsid w:val="007B6D34"/>
    <w:rsid w:val="007F1BFC"/>
    <w:rsid w:val="007F6670"/>
    <w:rsid w:val="00812434"/>
    <w:rsid w:val="00832783"/>
    <w:rsid w:val="00844929"/>
    <w:rsid w:val="008570CD"/>
    <w:rsid w:val="00857B1A"/>
    <w:rsid w:val="00860E9C"/>
    <w:rsid w:val="008647B8"/>
    <w:rsid w:val="00883CFD"/>
    <w:rsid w:val="0089210B"/>
    <w:rsid w:val="0089563B"/>
    <w:rsid w:val="008D6DB5"/>
    <w:rsid w:val="009132B2"/>
    <w:rsid w:val="00966D58"/>
    <w:rsid w:val="009B6161"/>
    <w:rsid w:val="009D759E"/>
    <w:rsid w:val="00A177A9"/>
    <w:rsid w:val="00A47F42"/>
    <w:rsid w:val="00A82B32"/>
    <w:rsid w:val="00AA03E8"/>
    <w:rsid w:val="00AA51A1"/>
    <w:rsid w:val="00AF47E3"/>
    <w:rsid w:val="00B0041F"/>
    <w:rsid w:val="00B02F45"/>
    <w:rsid w:val="00B07CFA"/>
    <w:rsid w:val="00B409A9"/>
    <w:rsid w:val="00B636AD"/>
    <w:rsid w:val="00B71127"/>
    <w:rsid w:val="00B949B5"/>
    <w:rsid w:val="00B97F1C"/>
    <w:rsid w:val="00BB547D"/>
    <w:rsid w:val="00BD45E7"/>
    <w:rsid w:val="00BE21C6"/>
    <w:rsid w:val="00C059EF"/>
    <w:rsid w:val="00C122CC"/>
    <w:rsid w:val="00C43427"/>
    <w:rsid w:val="00C81499"/>
    <w:rsid w:val="00C82ECE"/>
    <w:rsid w:val="00C93817"/>
    <w:rsid w:val="00CC3692"/>
    <w:rsid w:val="00CC6497"/>
    <w:rsid w:val="00CD26E1"/>
    <w:rsid w:val="00CD35BB"/>
    <w:rsid w:val="00CD49AD"/>
    <w:rsid w:val="00D0143C"/>
    <w:rsid w:val="00D30808"/>
    <w:rsid w:val="00D3337B"/>
    <w:rsid w:val="00D426E9"/>
    <w:rsid w:val="00D502CB"/>
    <w:rsid w:val="00D52F5C"/>
    <w:rsid w:val="00D55833"/>
    <w:rsid w:val="00D74882"/>
    <w:rsid w:val="00D86619"/>
    <w:rsid w:val="00E104EE"/>
    <w:rsid w:val="00E47C61"/>
    <w:rsid w:val="00E61B46"/>
    <w:rsid w:val="00E63B08"/>
    <w:rsid w:val="00E70C9D"/>
    <w:rsid w:val="00E71DD2"/>
    <w:rsid w:val="00E83A1A"/>
    <w:rsid w:val="00E861E2"/>
    <w:rsid w:val="00E933DB"/>
    <w:rsid w:val="00EA50C7"/>
    <w:rsid w:val="00ED22FC"/>
    <w:rsid w:val="00EE5E11"/>
    <w:rsid w:val="00EF1A66"/>
    <w:rsid w:val="00F01815"/>
    <w:rsid w:val="00F03DCC"/>
    <w:rsid w:val="00F26985"/>
    <w:rsid w:val="00F527F2"/>
    <w:rsid w:val="00FB4399"/>
    <w:rsid w:val="00FB707A"/>
    <w:rsid w:val="07C45742"/>
    <w:rsid w:val="0D986DC1"/>
    <w:rsid w:val="186E60A0"/>
    <w:rsid w:val="1D1326F9"/>
    <w:rsid w:val="1E9A5931"/>
    <w:rsid w:val="2CBE087A"/>
    <w:rsid w:val="30584FA9"/>
    <w:rsid w:val="30CE43B8"/>
    <w:rsid w:val="4E665CDC"/>
    <w:rsid w:val="5D0E65ED"/>
    <w:rsid w:val="5D440EE0"/>
    <w:rsid w:val="6B0433D7"/>
    <w:rsid w:val="70C90145"/>
    <w:rsid w:val="73653E36"/>
    <w:rsid w:val="7CAC22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line="240" w:lineRule="auto"/>
    </w:pPr>
    <w:rPr>
      <w:sz w:val="18"/>
      <w:szCs w:val="18"/>
    </w:rPr>
  </w:style>
  <w:style w:type="paragraph" w:styleId="3">
    <w:name w:val="footer"/>
    <w:basedOn w:val="1"/>
    <w:link w:val="11"/>
    <w:unhideWhenUsed/>
    <w:uiPriority w:val="99"/>
    <w:pPr>
      <w:tabs>
        <w:tab w:val="center" w:pos="4153"/>
        <w:tab w:val="right" w:pos="8306"/>
      </w:tabs>
      <w:snapToGrid w:val="0"/>
      <w:spacing w:line="240" w:lineRule="auto"/>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Defaul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8">
    <w:name w:val="List Paragraph"/>
    <w:basedOn w:val="1"/>
    <w:qFormat/>
    <w:uiPriority w:val="34"/>
    <w:pPr>
      <w:ind w:firstLine="420" w:firstLineChars="200"/>
    </w:pPr>
  </w:style>
  <w:style w:type="character" w:customStyle="1" w:styleId="9">
    <w:name w:val="批注框文本 Char"/>
    <w:basedOn w:val="6"/>
    <w:link w:val="2"/>
    <w:semiHidden/>
    <w:qFormat/>
    <w:uiPriority w:val="99"/>
    <w:rPr>
      <w:sz w:val="18"/>
      <w:szCs w:val="18"/>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paragraph" w:styleId="12">
    <w:name w:val="No Spacing"/>
    <w:link w:val="13"/>
    <w:qFormat/>
    <w:uiPriority w:val="1"/>
    <w:rPr>
      <w:rFonts w:asciiTheme="minorHAnsi" w:hAnsiTheme="minorHAnsi" w:eastAsiaTheme="minorEastAsia" w:cstheme="minorBidi"/>
      <w:sz w:val="22"/>
      <w:szCs w:val="22"/>
      <w:lang w:val="en-US" w:eastAsia="zh-CN" w:bidi="ar-SA"/>
    </w:rPr>
  </w:style>
  <w:style w:type="character" w:customStyle="1" w:styleId="13">
    <w:name w:val="无间隔 Char"/>
    <w:basedOn w:val="6"/>
    <w:link w:val="12"/>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5A59C-FDBF-42E0-A03B-587A364BE7DB}">
  <ds:schemaRefs/>
</ds:datastoreItem>
</file>

<file path=docProps/app.xml><?xml version="1.0" encoding="utf-8"?>
<Properties xmlns="http://schemas.openxmlformats.org/officeDocument/2006/extended-properties" xmlns:vt="http://schemas.openxmlformats.org/officeDocument/2006/docPropsVTypes">
  <Template>Normal</Template>
  <Company>dell</Company>
  <Pages>21</Pages>
  <Words>6720</Words>
  <Characters>8516</Characters>
  <Lines>73</Lines>
  <Paragraphs>20</Paragraphs>
  <TotalTime>15</TotalTime>
  <ScaleCrop>false</ScaleCrop>
  <LinksUpToDate>false</LinksUpToDate>
  <CharactersWithSpaces>9213</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2022-07-26T02:58:00Z</dcterms:created>
  <dc:creator>刘菁</dc:creator>
  <cp:lastModifiedBy>ASUS</cp:lastModifiedBy>
  <cp:lastPrinted>2020-07-28T07:53:00Z</cp:lastPrinted>
  <dcterms:modified xsi:type="dcterms:W3CDTF">2022-09-07T09:32:39Z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FD02145FE3B24C1CA2A316BAE80AD538</vt:lpwstr>
  </property>
</Properties>
</file>